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2408A8" w:rsidRDefault="00521C44" w:rsidP="00521C44">
      <w:pPr>
        <w:jc w:val="center"/>
        <w:rPr>
          <w:rFonts w:ascii="Arial" w:hAnsi="Arial" w:cs="Arial"/>
          <w:lang w:val="en-US"/>
        </w:rPr>
      </w:pPr>
      <w:r w:rsidRPr="002408A8">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7542B3" w:rsidRDefault="002E0CE6" w:rsidP="002E0CE6">
      <w:pPr>
        <w:rPr>
          <w:rFonts w:ascii="Arial" w:hAnsi="Arial" w:cs="Arial"/>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2408A8" w14:paraId="4EA3DA2F" w14:textId="77777777" w:rsidTr="002D0F9A">
        <w:tc>
          <w:tcPr>
            <w:tcW w:w="9314" w:type="dxa"/>
            <w:tcBorders>
              <w:top w:val="single" w:sz="4" w:space="0" w:color="auto"/>
            </w:tcBorders>
          </w:tcPr>
          <w:p w14:paraId="7280B4C5" w14:textId="77777777" w:rsidR="002E0CE6" w:rsidRPr="007542B3" w:rsidRDefault="002E0CE6" w:rsidP="002D0F9A">
            <w:pPr>
              <w:rPr>
                <w:rFonts w:ascii="Arial" w:hAnsi="Arial" w:cs="Arial"/>
              </w:rPr>
            </w:pPr>
            <w:bookmarkStart w:id="0" w:name="_Hlk117000108"/>
          </w:p>
        </w:tc>
      </w:tr>
      <w:tr w:rsidR="002E0CE6" w:rsidRPr="002408A8" w14:paraId="41E5602A" w14:textId="77777777" w:rsidTr="002D0F9A">
        <w:tc>
          <w:tcPr>
            <w:tcW w:w="9314" w:type="dxa"/>
          </w:tcPr>
          <w:p w14:paraId="7EF61736" w14:textId="24740B8A" w:rsidR="002E0CE6" w:rsidRPr="007542B3" w:rsidRDefault="00A92A8E" w:rsidP="002D0F9A">
            <w:pPr>
              <w:jc w:val="center"/>
              <w:rPr>
                <w:rFonts w:ascii="Arial" w:hAnsi="Arial" w:cs="Arial"/>
                <w:b/>
              </w:rPr>
            </w:pPr>
            <w:bookmarkStart w:id="1" w:name="_Hlk164172887"/>
            <w:r w:rsidRPr="007542B3">
              <w:rPr>
                <w:rFonts w:ascii="Arial" w:hAnsi="Arial" w:cs="Arial"/>
                <w:b/>
              </w:rPr>
              <w:t>Succession Policy</w:t>
            </w:r>
          </w:p>
        </w:tc>
      </w:tr>
      <w:bookmarkEnd w:id="0"/>
      <w:bookmarkEnd w:id="1"/>
      <w:tr w:rsidR="002E0CE6" w:rsidRPr="002408A8" w14:paraId="7AF77EB8" w14:textId="77777777" w:rsidTr="002D0F9A">
        <w:tc>
          <w:tcPr>
            <w:tcW w:w="9314" w:type="dxa"/>
            <w:tcBorders>
              <w:bottom w:val="single" w:sz="4" w:space="0" w:color="auto"/>
            </w:tcBorders>
          </w:tcPr>
          <w:p w14:paraId="17A6F451" w14:textId="77777777" w:rsidR="002E0CE6" w:rsidRPr="007542B3" w:rsidRDefault="002E0CE6" w:rsidP="002D0F9A">
            <w:pPr>
              <w:rPr>
                <w:rFonts w:ascii="Arial" w:hAnsi="Arial" w:cs="Arial"/>
              </w:rPr>
            </w:pPr>
          </w:p>
        </w:tc>
      </w:tr>
    </w:tbl>
    <w:p w14:paraId="03C55B00" w14:textId="77777777" w:rsidR="002E0CE6" w:rsidRPr="002408A8" w:rsidRDefault="002E0CE6" w:rsidP="002E0CE6">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2E0CE6" w:rsidRPr="002408A8" w14:paraId="4F83E7FF" w14:textId="77777777" w:rsidTr="002D0F9A">
        <w:tc>
          <w:tcPr>
            <w:tcW w:w="9295" w:type="dxa"/>
          </w:tcPr>
          <w:p w14:paraId="4540AFBE" w14:textId="77777777" w:rsidR="002E0CE6" w:rsidRPr="002408A8" w:rsidRDefault="002E0CE6" w:rsidP="002D0F9A">
            <w:pPr>
              <w:spacing w:after="120" w:line="276" w:lineRule="auto"/>
              <w:jc w:val="both"/>
              <w:rPr>
                <w:rFonts w:ascii="Arial" w:hAnsi="Arial" w:cs="Arial"/>
                <w:color w:val="002060"/>
              </w:rPr>
            </w:pPr>
          </w:p>
          <w:p w14:paraId="5DA2F452" w14:textId="77777777" w:rsidR="002E0CE6" w:rsidRPr="002408A8" w:rsidRDefault="002E0CE6" w:rsidP="002D0F9A">
            <w:pPr>
              <w:spacing w:after="240" w:line="276" w:lineRule="auto"/>
              <w:jc w:val="both"/>
              <w:rPr>
                <w:rFonts w:ascii="Arial" w:hAnsi="Arial" w:cs="Arial"/>
                <w:color w:val="002060"/>
              </w:rPr>
            </w:pPr>
          </w:p>
        </w:tc>
      </w:tr>
    </w:tbl>
    <w:p w14:paraId="25DFAEC0" w14:textId="77777777" w:rsidR="001B6B9A" w:rsidRPr="002408A8" w:rsidRDefault="001B6B9A" w:rsidP="00521C44">
      <w:pPr>
        <w:rPr>
          <w:rFonts w:ascii="Arial" w:hAnsi="Arial" w:cs="Arial"/>
          <w:highlight w:val="yellow"/>
        </w:rPr>
      </w:pPr>
    </w:p>
    <w:p w14:paraId="6482EFAD" w14:textId="77777777" w:rsidR="00521C44" w:rsidRPr="002408A8" w:rsidRDefault="00521C44" w:rsidP="00521C44">
      <w:pPr>
        <w:rPr>
          <w:rFonts w:ascii="Arial" w:hAnsi="Arial" w:cs="Arial"/>
        </w:rPr>
      </w:pPr>
    </w:p>
    <w:p w14:paraId="0E31AAD0" w14:textId="77777777" w:rsidR="00521C44" w:rsidRPr="002408A8" w:rsidRDefault="00521C44" w:rsidP="00521C44">
      <w:pPr>
        <w:rPr>
          <w:rFonts w:ascii="Arial" w:hAnsi="Arial" w:cs="Arial"/>
        </w:rPr>
      </w:pPr>
      <w:r w:rsidRPr="002408A8">
        <w:rPr>
          <w:rFonts w:ascii="Arial" w:hAnsi="Arial" w:cs="Arial"/>
        </w:rPr>
        <w:t xml:space="preserve"> </w:t>
      </w:r>
    </w:p>
    <w:p w14:paraId="22729906" w14:textId="77777777" w:rsidR="00521C44" w:rsidRPr="002408A8" w:rsidRDefault="00521C44" w:rsidP="00521C44">
      <w:pPr>
        <w:rPr>
          <w:rFonts w:ascii="Arial" w:hAnsi="Arial" w:cs="Arial"/>
        </w:rPr>
      </w:pPr>
    </w:p>
    <w:p w14:paraId="21653C25" w14:textId="77777777" w:rsidR="00521C44" w:rsidRPr="002408A8" w:rsidRDefault="00521C44" w:rsidP="00521C44">
      <w:pPr>
        <w:rPr>
          <w:rFonts w:ascii="Arial" w:hAnsi="Arial" w:cs="Arial"/>
        </w:rPr>
      </w:pPr>
      <w:r w:rsidRPr="002408A8">
        <w:rPr>
          <w:rFonts w:ascii="Arial" w:hAnsi="Arial" w:cs="Arial"/>
        </w:rPr>
        <w:t xml:space="preserve"> </w:t>
      </w:r>
    </w:p>
    <w:p w14:paraId="43C11D6D" w14:textId="77777777" w:rsidR="00521C44" w:rsidRPr="002408A8" w:rsidRDefault="00521C44" w:rsidP="00521C44">
      <w:pPr>
        <w:rPr>
          <w:rFonts w:ascii="Arial" w:hAnsi="Arial" w:cs="Arial"/>
        </w:rPr>
      </w:pPr>
    </w:p>
    <w:p w14:paraId="6292AB19" w14:textId="77777777" w:rsidR="00521C44" w:rsidRPr="002408A8" w:rsidRDefault="00521C44" w:rsidP="00521C44">
      <w:pPr>
        <w:rPr>
          <w:rFonts w:ascii="Arial" w:hAnsi="Arial" w:cs="Arial"/>
        </w:rPr>
      </w:pPr>
      <w:r w:rsidRPr="002408A8">
        <w:rPr>
          <w:rFonts w:ascii="Arial" w:hAnsi="Arial" w:cs="Arial"/>
        </w:rPr>
        <w:t xml:space="preserve"> </w:t>
      </w:r>
    </w:p>
    <w:p w14:paraId="2FBAC961" w14:textId="77777777" w:rsidR="00521C44" w:rsidRPr="002408A8" w:rsidRDefault="00521C44" w:rsidP="00521C44">
      <w:pPr>
        <w:rPr>
          <w:rFonts w:ascii="Arial" w:hAnsi="Arial" w:cs="Arial"/>
        </w:rPr>
      </w:pPr>
    </w:p>
    <w:p w14:paraId="2BCC6C46" w14:textId="77777777" w:rsidR="00521C44" w:rsidRPr="002408A8" w:rsidRDefault="00521C44" w:rsidP="00521C44">
      <w:pPr>
        <w:rPr>
          <w:rFonts w:ascii="Arial" w:hAnsi="Arial" w:cs="Arial"/>
        </w:rPr>
      </w:pPr>
      <w:r w:rsidRPr="002408A8">
        <w:rPr>
          <w:rFonts w:ascii="Arial" w:hAnsi="Arial" w:cs="Arial"/>
        </w:rPr>
        <w:t xml:space="preserve"> </w:t>
      </w:r>
    </w:p>
    <w:p w14:paraId="5C6291B2" w14:textId="77777777" w:rsidR="00521C44" w:rsidRPr="002408A8" w:rsidRDefault="00521C44" w:rsidP="00521C44">
      <w:pPr>
        <w:rPr>
          <w:rFonts w:ascii="Arial" w:hAnsi="Arial" w:cs="Arial"/>
        </w:rPr>
      </w:pPr>
    </w:p>
    <w:p w14:paraId="4C7C3274" w14:textId="77777777" w:rsidR="00521C44" w:rsidRPr="002408A8" w:rsidRDefault="00521C44" w:rsidP="00521C44">
      <w:pPr>
        <w:rPr>
          <w:rFonts w:ascii="Arial" w:hAnsi="Arial" w:cs="Arial"/>
        </w:rPr>
      </w:pPr>
      <w:r w:rsidRPr="002408A8">
        <w:rPr>
          <w:rFonts w:ascii="Arial" w:hAnsi="Arial" w:cs="Arial"/>
        </w:rPr>
        <w:t xml:space="preserve"> </w:t>
      </w:r>
    </w:p>
    <w:p w14:paraId="53A86F58" w14:textId="77777777" w:rsidR="00521C44" w:rsidRPr="002408A8" w:rsidRDefault="00521C44" w:rsidP="00521C44">
      <w:pPr>
        <w:rPr>
          <w:rFonts w:ascii="Arial" w:hAnsi="Arial" w:cs="Arial"/>
        </w:rPr>
      </w:pPr>
    </w:p>
    <w:p w14:paraId="4685B03C" w14:textId="77777777" w:rsidR="0050721D" w:rsidRPr="002408A8" w:rsidRDefault="0050721D" w:rsidP="00521C44">
      <w:pPr>
        <w:rPr>
          <w:rFonts w:ascii="Arial" w:hAnsi="Arial" w:cs="Arial"/>
        </w:rPr>
      </w:pPr>
    </w:p>
    <w:p w14:paraId="131BFBEC" w14:textId="77777777" w:rsidR="0050721D" w:rsidRPr="002408A8" w:rsidRDefault="0050721D" w:rsidP="00521C44">
      <w:pPr>
        <w:rPr>
          <w:rFonts w:ascii="Arial" w:hAnsi="Arial" w:cs="Arial"/>
        </w:rPr>
      </w:pPr>
    </w:p>
    <w:p w14:paraId="0E914FB0" w14:textId="77777777" w:rsidR="0050721D" w:rsidRPr="002408A8" w:rsidRDefault="0050721D" w:rsidP="00521C44">
      <w:pPr>
        <w:rPr>
          <w:rFonts w:ascii="Arial" w:hAnsi="Arial" w:cs="Arial"/>
        </w:rPr>
      </w:pPr>
    </w:p>
    <w:p w14:paraId="6BECB4CD" w14:textId="77777777" w:rsidR="0050721D" w:rsidRPr="002408A8" w:rsidRDefault="0050721D" w:rsidP="00521C44">
      <w:pPr>
        <w:rPr>
          <w:rFonts w:ascii="Arial" w:hAnsi="Arial" w:cs="Arial"/>
        </w:rPr>
      </w:pPr>
    </w:p>
    <w:p w14:paraId="3DFC8E4A" w14:textId="77777777" w:rsidR="0050721D" w:rsidRPr="002408A8" w:rsidRDefault="0050721D" w:rsidP="00521C44">
      <w:pPr>
        <w:rPr>
          <w:rFonts w:ascii="Arial" w:hAnsi="Arial" w:cs="Arial"/>
        </w:rPr>
      </w:pPr>
    </w:p>
    <w:p w14:paraId="7FC46FB0" w14:textId="77777777" w:rsidR="00521C44" w:rsidRPr="002408A8" w:rsidRDefault="00521C44" w:rsidP="00521C44">
      <w:pPr>
        <w:rPr>
          <w:rFonts w:ascii="Arial" w:hAnsi="Arial" w:cs="Arial"/>
        </w:rPr>
      </w:pPr>
      <w:r w:rsidRPr="002408A8">
        <w:rPr>
          <w:rFonts w:ascii="Arial" w:hAnsi="Arial" w:cs="Arial"/>
        </w:rPr>
        <w:t xml:space="preserve"> </w:t>
      </w:r>
    </w:p>
    <w:p w14:paraId="2DFDA248" w14:textId="77777777" w:rsidR="00521C44" w:rsidRPr="002408A8" w:rsidRDefault="00521C44" w:rsidP="00521C44">
      <w:pPr>
        <w:rPr>
          <w:rFonts w:ascii="Arial" w:hAnsi="Arial" w:cs="Arial"/>
        </w:rPr>
      </w:pPr>
    </w:p>
    <w:p w14:paraId="76477AFF" w14:textId="77777777" w:rsidR="00521C44" w:rsidRPr="002408A8" w:rsidRDefault="00521C44" w:rsidP="00521C44">
      <w:pPr>
        <w:rPr>
          <w:rFonts w:ascii="Arial" w:hAnsi="Arial" w:cs="Arial"/>
        </w:rPr>
      </w:pPr>
      <w:r w:rsidRPr="002408A8">
        <w:rPr>
          <w:rFonts w:ascii="Arial" w:hAnsi="Arial" w:cs="Arial"/>
        </w:rPr>
        <w:t xml:space="preserve"> </w:t>
      </w:r>
    </w:p>
    <w:p w14:paraId="77D0F127" w14:textId="77777777" w:rsidR="00EF0CA2" w:rsidRPr="007542B3" w:rsidRDefault="00EF0CA2" w:rsidP="00521C44">
      <w:pPr>
        <w:rPr>
          <w:rFonts w:ascii="Arial" w:hAnsi="Arial" w:cs="Arial"/>
          <w:b/>
          <w:bCs/>
        </w:rPr>
      </w:pPr>
    </w:p>
    <w:p w14:paraId="409D342A" w14:textId="77777777" w:rsidR="008806E3" w:rsidRDefault="008806E3" w:rsidP="00521C44">
      <w:pPr>
        <w:rPr>
          <w:rFonts w:ascii="Arial" w:hAnsi="Arial" w:cs="Arial"/>
          <w:b/>
          <w:bCs/>
        </w:rPr>
      </w:pPr>
    </w:p>
    <w:p w14:paraId="6F613F9F" w14:textId="220BFAB2" w:rsidR="00521C44" w:rsidRPr="007542B3" w:rsidRDefault="00521C44" w:rsidP="00521C44">
      <w:pPr>
        <w:rPr>
          <w:rFonts w:ascii="Arial" w:hAnsi="Arial" w:cs="Arial"/>
          <w:b/>
          <w:bCs/>
        </w:rPr>
      </w:pPr>
      <w:r w:rsidRPr="007542B3">
        <w:rPr>
          <w:rFonts w:ascii="Arial" w:hAnsi="Arial" w:cs="Arial"/>
          <w:b/>
          <w:bCs/>
        </w:rPr>
        <w:t xml:space="preserve">Contents </w:t>
      </w:r>
      <w:r w:rsidR="00FB63FE" w:rsidRPr="007542B3">
        <w:rPr>
          <w:rFonts w:ascii="Arial" w:hAnsi="Arial" w:cs="Arial"/>
          <w:b/>
          <w:bCs/>
        </w:rPr>
        <w:tab/>
      </w:r>
      <w:r w:rsidR="00FB63FE" w:rsidRPr="007542B3">
        <w:rPr>
          <w:rFonts w:ascii="Arial" w:hAnsi="Arial" w:cs="Arial"/>
          <w:b/>
          <w:bCs/>
        </w:rPr>
        <w:tab/>
      </w:r>
      <w:r w:rsidR="00FB63FE" w:rsidRPr="007542B3">
        <w:rPr>
          <w:rFonts w:ascii="Arial" w:hAnsi="Arial" w:cs="Arial"/>
          <w:b/>
          <w:bCs/>
        </w:rPr>
        <w:tab/>
      </w:r>
      <w:r w:rsidR="00FB63FE" w:rsidRPr="007542B3">
        <w:rPr>
          <w:rFonts w:ascii="Arial" w:hAnsi="Arial" w:cs="Arial"/>
          <w:b/>
          <w:bCs/>
        </w:rPr>
        <w:tab/>
      </w:r>
      <w:r w:rsidR="00FB63FE" w:rsidRPr="007542B3">
        <w:rPr>
          <w:rFonts w:ascii="Arial" w:hAnsi="Arial" w:cs="Arial"/>
          <w:b/>
          <w:bCs/>
        </w:rPr>
        <w:tab/>
      </w:r>
      <w:r w:rsidR="00FB63FE" w:rsidRPr="007542B3">
        <w:rPr>
          <w:rFonts w:ascii="Arial" w:hAnsi="Arial" w:cs="Arial"/>
          <w:b/>
          <w:bCs/>
        </w:rPr>
        <w:tab/>
        <w:t>Section</w:t>
      </w:r>
    </w:p>
    <w:p w14:paraId="09C65730" w14:textId="57426026" w:rsidR="008B4AC5" w:rsidRPr="002408A8" w:rsidRDefault="008B4AC5" w:rsidP="008B4AC5">
      <w:pPr>
        <w:rPr>
          <w:rFonts w:ascii="Arial" w:hAnsi="Arial" w:cs="Arial"/>
        </w:rPr>
      </w:pPr>
      <w:r w:rsidRPr="002408A8">
        <w:rPr>
          <w:rFonts w:ascii="Arial" w:hAnsi="Arial" w:cs="Arial"/>
        </w:rPr>
        <w:t xml:space="preserve">Introduction and policy purpose   </w:t>
      </w:r>
      <w:r w:rsidR="00FB63FE" w:rsidRPr="002408A8">
        <w:rPr>
          <w:rFonts w:ascii="Arial" w:hAnsi="Arial" w:cs="Arial"/>
        </w:rPr>
        <w:tab/>
      </w:r>
      <w:r w:rsidR="00FB63FE" w:rsidRPr="002408A8">
        <w:rPr>
          <w:rFonts w:ascii="Arial" w:hAnsi="Arial" w:cs="Arial"/>
        </w:rPr>
        <w:tab/>
      </w:r>
      <w:r w:rsidR="00FB63FE" w:rsidRPr="002408A8">
        <w:rPr>
          <w:rFonts w:ascii="Arial" w:hAnsi="Arial" w:cs="Arial"/>
        </w:rPr>
        <w:tab/>
        <w:t>1</w:t>
      </w:r>
    </w:p>
    <w:p w14:paraId="190B890F" w14:textId="6437427A" w:rsidR="008B4AC5" w:rsidRPr="002408A8" w:rsidRDefault="008B4AC5" w:rsidP="008B4AC5">
      <w:pPr>
        <w:rPr>
          <w:rFonts w:ascii="Arial" w:hAnsi="Arial" w:cs="Arial"/>
        </w:rPr>
      </w:pPr>
      <w:r w:rsidRPr="002408A8">
        <w:rPr>
          <w:rFonts w:ascii="Arial" w:hAnsi="Arial" w:cs="Arial"/>
        </w:rPr>
        <w:t xml:space="preserve">Policy statement        </w:t>
      </w:r>
      <w:r w:rsidR="00FB63FE" w:rsidRPr="002408A8">
        <w:rPr>
          <w:rFonts w:ascii="Arial" w:hAnsi="Arial" w:cs="Arial"/>
        </w:rPr>
        <w:tab/>
      </w:r>
      <w:r w:rsidR="00FB63FE" w:rsidRPr="002408A8">
        <w:rPr>
          <w:rFonts w:ascii="Arial" w:hAnsi="Arial" w:cs="Arial"/>
        </w:rPr>
        <w:tab/>
      </w:r>
      <w:r w:rsidR="00FB63FE" w:rsidRPr="002408A8">
        <w:rPr>
          <w:rFonts w:ascii="Arial" w:hAnsi="Arial" w:cs="Arial"/>
        </w:rPr>
        <w:tab/>
      </w:r>
      <w:r w:rsidR="00FB63FE" w:rsidRPr="002408A8">
        <w:rPr>
          <w:rFonts w:ascii="Arial" w:hAnsi="Arial" w:cs="Arial"/>
        </w:rPr>
        <w:tab/>
      </w:r>
      <w:r w:rsidR="00FB63FE" w:rsidRPr="002408A8">
        <w:rPr>
          <w:rFonts w:ascii="Arial" w:hAnsi="Arial" w:cs="Arial"/>
        </w:rPr>
        <w:tab/>
        <w:t>2</w:t>
      </w:r>
      <w:r w:rsidRPr="002408A8">
        <w:rPr>
          <w:rFonts w:ascii="Arial" w:hAnsi="Arial" w:cs="Arial"/>
        </w:rPr>
        <w:t xml:space="preserve"> </w:t>
      </w:r>
    </w:p>
    <w:p w14:paraId="6A95B5E6" w14:textId="47A79BDA" w:rsidR="008B4AC5" w:rsidRPr="002408A8" w:rsidRDefault="00FB63FE" w:rsidP="008B4AC5">
      <w:pPr>
        <w:rPr>
          <w:rFonts w:ascii="Arial" w:hAnsi="Arial" w:cs="Arial"/>
        </w:rPr>
      </w:pPr>
      <w:r w:rsidRPr="002408A8">
        <w:rPr>
          <w:rFonts w:ascii="Arial" w:hAnsi="Arial" w:cs="Arial"/>
        </w:rPr>
        <w:t>Definitions</w:t>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t>3</w:t>
      </w:r>
      <w:r w:rsidR="008B4AC5" w:rsidRPr="002408A8">
        <w:rPr>
          <w:rFonts w:ascii="Arial" w:hAnsi="Arial" w:cs="Arial"/>
        </w:rPr>
        <w:t xml:space="preserve">  </w:t>
      </w:r>
      <w:r w:rsidR="008B4AC5" w:rsidRPr="002408A8">
        <w:rPr>
          <w:rFonts w:ascii="Arial" w:hAnsi="Arial" w:cs="Arial"/>
        </w:rPr>
        <w:tab/>
      </w:r>
    </w:p>
    <w:p w14:paraId="0C703444" w14:textId="1A620EAE" w:rsidR="008B4AC5" w:rsidRPr="002408A8" w:rsidRDefault="008D6637" w:rsidP="008B4AC5">
      <w:pPr>
        <w:rPr>
          <w:rFonts w:ascii="Arial" w:hAnsi="Arial" w:cs="Arial"/>
        </w:rPr>
      </w:pPr>
      <w:r w:rsidRPr="002408A8">
        <w:rPr>
          <w:rFonts w:ascii="Arial" w:hAnsi="Arial" w:cs="Arial"/>
        </w:rPr>
        <w:t xml:space="preserve">Types of </w:t>
      </w:r>
      <w:r w:rsidR="00622E43" w:rsidRPr="002408A8">
        <w:rPr>
          <w:rFonts w:ascii="Arial" w:hAnsi="Arial" w:cs="Arial"/>
        </w:rPr>
        <w:t>s</w:t>
      </w:r>
      <w:r w:rsidRPr="002408A8">
        <w:rPr>
          <w:rFonts w:ascii="Arial" w:hAnsi="Arial" w:cs="Arial"/>
        </w:rPr>
        <w:t>uccession</w:t>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t>4</w:t>
      </w:r>
      <w:r w:rsidR="008B4AC5" w:rsidRPr="002408A8">
        <w:rPr>
          <w:rFonts w:ascii="Arial" w:hAnsi="Arial" w:cs="Arial"/>
        </w:rPr>
        <w:t xml:space="preserve">    </w:t>
      </w:r>
      <w:r w:rsidR="008B4AC5" w:rsidRPr="002408A8">
        <w:rPr>
          <w:rFonts w:ascii="Arial" w:hAnsi="Arial" w:cs="Arial"/>
        </w:rPr>
        <w:tab/>
      </w:r>
      <w:r w:rsidR="008B4AC5" w:rsidRPr="002408A8">
        <w:rPr>
          <w:rFonts w:ascii="Arial" w:hAnsi="Arial" w:cs="Arial"/>
        </w:rPr>
        <w:tab/>
      </w:r>
    </w:p>
    <w:p w14:paraId="03F5EBF1" w14:textId="77777777" w:rsidR="009D1D41" w:rsidRPr="002408A8" w:rsidRDefault="00A57149" w:rsidP="008B4AC5">
      <w:pPr>
        <w:rPr>
          <w:rFonts w:ascii="Arial" w:hAnsi="Arial" w:cs="Arial"/>
        </w:rPr>
      </w:pPr>
      <w:r w:rsidRPr="002408A8">
        <w:rPr>
          <w:rFonts w:ascii="Arial" w:hAnsi="Arial" w:cs="Arial"/>
        </w:rPr>
        <w:t xml:space="preserve">Discretionary </w:t>
      </w:r>
      <w:r w:rsidR="00622E43" w:rsidRPr="002408A8">
        <w:rPr>
          <w:rFonts w:ascii="Arial" w:hAnsi="Arial" w:cs="Arial"/>
        </w:rPr>
        <w:t>t</w:t>
      </w:r>
      <w:r w:rsidRPr="002408A8">
        <w:rPr>
          <w:rFonts w:ascii="Arial" w:hAnsi="Arial" w:cs="Arial"/>
        </w:rPr>
        <w:t>enancies</w:t>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t>5</w:t>
      </w:r>
      <w:r w:rsidR="008B4AC5" w:rsidRPr="002408A8">
        <w:rPr>
          <w:rFonts w:ascii="Arial" w:hAnsi="Arial" w:cs="Arial"/>
        </w:rPr>
        <w:t xml:space="preserve">  </w:t>
      </w:r>
    </w:p>
    <w:p w14:paraId="0B0125F0" w14:textId="2867F5AF" w:rsidR="0082798E" w:rsidRPr="002408A8" w:rsidRDefault="009D1D41" w:rsidP="008B4AC5">
      <w:pPr>
        <w:rPr>
          <w:rFonts w:ascii="Arial" w:hAnsi="Arial" w:cs="Arial"/>
        </w:rPr>
      </w:pPr>
      <w:r w:rsidRPr="002408A8">
        <w:rPr>
          <w:rFonts w:ascii="Arial" w:hAnsi="Arial" w:cs="Arial"/>
        </w:rPr>
        <w:t>Multiple Successors</w:t>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r>
      <w:r w:rsidRPr="002408A8">
        <w:rPr>
          <w:rFonts w:ascii="Arial" w:hAnsi="Arial" w:cs="Arial"/>
        </w:rPr>
        <w:tab/>
      </w:r>
      <w:r w:rsidR="00FC75DB" w:rsidRPr="002408A8">
        <w:rPr>
          <w:rFonts w:ascii="Arial" w:hAnsi="Arial" w:cs="Arial"/>
        </w:rPr>
        <w:t>6</w:t>
      </w:r>
      <w:r w:rsidR="008B4AC5" w:rsidRPr="002408A8">
        <w:rPr>
          <w:rFonts w:ascii="Arial" w:hAnsi="Arial" w:cs="Arial"/>
        </w:rPr>
        <w:t xml:space="preserve">  </w:t>
      </w:r>
    </w:p>
    <w:p w14:paraId="461931B1" w14:textId="687C7435" w:rsidR="0082798E" w:rsidRPr="002408A8" w:rsidRDefault="0082798E" w:rsidP="0082798E">
      <w:pPr>
        <w:rPr>
          <w:rFonts w:ascii="Arial" w:hAnsi="Arial" w:cs="Arial"/>
          <w:bCs/>
        </w:rPr>
      </w:pPr>
      <w:r w:rsidRPr="002408A8">
        <w:rPr>
          <w:rFonts w:ascii="Arial" w:hAnsi="Arial" w:cs="Arial"/>
          <w:bCs/>
        </w:rPr>
        <w:t xml:space="preserve">Inheriting a </w:t>
      </w:r>
      <w:r w:rsidR="00622E43" w:rsidRPr="002408A8">
        <w:rPr>
          <w:rFonts w:ascii="Arial" w:hAnsi="Arial" w:cs="Arial"/>
          <w:bCs/>
        </w:rPr>
        <w:t>t</w:t>
      </w:r>
      <w:r w:rsidRPr="002408A8">
        <w:rPr>
          <w:rFonts w:ascii="Arial" w:hAnsi="Arial" w:cs="Arial"/>
          <w:bCs/>
        </w:rPr>
        <w:t>enancy</w:t>
      </w:r>
      <w:r w:rsidRPr="002408A8">
        <w:rPr>
          <w:rFonts w:ascii="Arial" w:hAnsi="Arial" w:cs="Arial"/>
          <w:bCs/>
        </w:rPr>
        <w:tab/>
      </w:r>
      <w:r w:rsidRPr="002408A8">
        <w:rPr>
          <w:rFonts w:ascii="Arial" w:hAnsi="Arial" w:cs="Arial"/>
          <w:bCs/>
        </w:rPr>
        <w:tab/>
      </w:r>
      <w:r w:rsidRPr="002408A8">
        <w:rPr>
          <w:rFonts w:ascii="Arial" w:hAnsi="Arial" w:cs="Arial"/>
          <w:bCs/>
        </w:rPr>
        <w:tab/>
      </w:r>
      <w:r w:rsidRPr="002408A8">
        <w:rPr>
          <w:rFonts w:ascii="Arial" w:hAnsi="Arial" w:cs="Arial"/>
          <w:bCs/>
        </w:rPr>
        <w:tab/>
      </w:r>
      <w:r w:rsidRPr="002408A8">
        <w:rPr>
          <w:rFonts w:ascii="Arial" w:hAnsi="Arial" w:cs="Arial"/>
          <w:bCs/>
        </w:rPr>
        <w:tab/>
      </w:r>
      <w:r w:rsidR="00FC75DB" w:rsidRPr="002408A8">
        <w:rPr>
          <w:rFonts w:ascii="Arial" w:hAnsi="Arial" w:cs="Arial"/>
          <w:bCs/>
        </w:rPr>
        <w:t>7</w:t>
      </w:r>
    </w:p>
    <w:p w14:paraId="1C6B6F12" w14:textId="41632276" w:rsidR="00622E43" w:rsidRPr="002408A8" w:rsidRDefault="00622E43" w:rsidP="0082798E">
      <w:pPr>
        <w:rPr>
          <w:rFonts w:ascii="Arial" w:hAnsi="Arial" w:cs="Arial"/>
          <w:bCs/>
        </w:rPr>
      </w:pPr>
      <w:r w:rsidRPr="002408A8">
        <w:rPr>
          <w:rFonts w:ascii="Arial" w:hAnsi="Arial" w:cs="Arial"/>
          <w:bCs/>
        </w:rPr>
        <w:t>Proof of residency</w:t>
      </w:r>
      <w:r w:rsidRPr="002408A8">
        <w:rPr>
          <w:rFonts w:ascii="Arial" w:hAnsi="Arial" w:cs="Arial"/>
          <w:bCs/>
        </w:rPr>
        <w:tab/>
      </w:r>
      <w:r w:rsidRPr="002408A8">
        <w:rPr>
          <w:rFonts w:ascii="Arial" w:hAnsi="Arial" w:cs="Arial"/>
          <w:bCs/>
        </w:rPr>
        <w:tab/>
      </w:r>
      <w:r w:rsidRPr="002408A8">
        <w:rPr>
          <w:rFonts w:ascii="Arial" w:hAnsi="Arial" w:cs="Arial"/>
          <w:bCs/>
        </w:rPr>
        <w:tab/>
      </w:r>
      <w:r w:rsidRPr="002408A8">
        <w:rPr>
          <w:rFonts w:ascii="Arial" w:hAnsi="Arial" w:cs="Arial"/>
          <w:bCs/>
        </w:rPr>
        <w:tab/>
      </w:r>
      <w:r w:rsidRPr="002408A8">
        <w:rPr>
          <w:rFonts w:ascii="Arial" w:hAnsi="Arial" w:cs="Arial"/>
          <w:bCs/>
        </w:rPr>
        <w:tab/>
      </w:r>
      <w:r w:rsidR="00FC75DB" w:rsidRPr="002408A8">
        <w:rPr>
          <w:rFonts w:ascii="Arial" w:hAnsi="Arial" w:cs="Arial"/>
          <w:bCs/>
        </w:rPr>
        <w:t>8</w:t>
      </w:r>
    </w:p>
    <w:p w14:paraId="167B3F45" w14:textId="7A3002DE" w:rsidR="00F83FC7" w:rsidRPr="002408A8" w:rsidRDefault="00F83FC7" w:rsidP="00F83FC7">
      <w:pPr>
        <w:pStyle w:val="Level1"/>
        <w:keepNext/>
        <w:numPr>
          <w:ilvl w:val="0"/>
          <w:numId w:val="0"/>
        </w:numPr>
        <w:ind w:left="992" w:hanging="992"/>
        <w:rPr>
          <w:bCs/>
          <w:kern w:val="2"/>
          <w:sz w:val="22"/>
          <w14:ligatures w14:val="standardContextual"/>
        </w:rPr>
      </w:pPr>
      <w:r w:rsidRPr="002408A8">
        <w:rPr>
          <w:bCs/>
          <w:kern w:val="2"/>
          <w:sz w:val="22"/>
          <w14:ligatures w14:val="standardContextual"/>
        </w:rPr>
        <w:t>Succession to a minor</w:t>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00FC75DB" w:rsidRPr="002408A8">
        <w:rPr>
          <w:bCs/>
          <w:kern w:val="2"/>
          <w:sz w:val="22"/>
          <w14:ligatures w14:val="standardContextual"/>
        </w:rPr>
        <w:t>9</w:t>
      </w:r>
    </w:p>
    <w:p w14:paraId="4AE3CF94" w14:textId="7E16DECF" w:rsidR="00B45733" w:rsidRPr="002408A8" w:rsidRDefault="00B45733" w:rsidP="00F83FC7">
      <w:pPr>
        <w:pStyle w:val="Level1"/>
        <w:keepNext/>
        <w:numPr>
          <w:ilvl w:val="0"/>
          <w:numId w:val="0"/>
        </w:numPr>
        <w:ind w:left="992" w:hanging="992"/>
        <w:rPr>
          <w:bCs/>
          <w:kern w:val="2"/>
          <w:sz w:val="22"/>
          <w14:ligatures w14:val="standardContextual"/>
        </w:rPr>
      </w:pPr>
      <w:r w:rsidRPr="002408A8">
        <w:rPr>
          <w:bCs/>
          <w:kern w:val="2"/>
          <w:sz w:val="22"/>
          <w14:ligatures w14:val="standardContextual"/>
        </w:rPr>
        <w:t>Terminating a tenancy</w:t>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00FC75DB" w:rsidRPr="002408A8">
        <w:rPr>
          <w:bCs/>
          <w:kern w:val="2"/>
          <w:sz w:val="22"/>
          <w14:ligatures w14:val="standardContextual"/>
        </w:rPr>
        <w:t>10</w:t>
      </w:r>
    </w:p>
    <w:p w14:paraId="2AAED355" w14:textId="1F81CC9A" w:rsidR="00F464A0" w:rsidRPr="002408A8" w:rsidRDefault="00F464A0" w:rsidP="00F83FC7">
      <w:pPr>
        <w:pStyle w:val="Level1"/>
        <w:keepNext/>
        <w:numPr>
          <w:ilvl w:val="0"/>
          <w:numId w:val="0"/>
        </w:numPr>
        <w:ind w:left="992" w:hanging="992"/>
        <w:rPr>
          <w:bCs/>
          <w:kern w:val="2"/>
          <w:sz w:val="22"/>
          <w14:ligatures w14:val="standardContextual"/>
        </w:rPr>
      </w:pPr>
      <w:r w:rsidRPr="002408A8">
        <w:rPr>
          <w:bCs/>
          <w:kern w:val="2"/>
          <w:sz w:val="22"/>
          <w14:ligatures w14:val="standardContextual"/>
        </w:rPr>
        <w:t>Assignment</w:t>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00FC75DB" w:rsidRPr="002408A8">
        <w:rPr>
          <w:bCs/>
          <w:kern w:val="2"/>
          <w:sz w:val="22"/>
          <w14:ligatures w14:val="standardContextual"/>
        </w:rPr>
        <w:t>11</w:t>
      </w:r>
    </w:p>
    <w:p w14:paraId="3D316279" w14:textId="1C17EDCA" w:rsidR="00D24C8C" w:rsidRPr="007542B3" w:rsidRDefault="00BB59F5" w:rsidP="00BB59F5">
      <w:pPr>
        <w:pStyle w:val="Level1"/>
        <w:keepNext/>
        <w:numPr>
          <w:ilvl w:val="0"/>
          <w:numId w:val="0"/>
        </w:numPr>
        <w:ind w:left="992" w:hanging="992"/>
        <w:rPr>
          <w:sz w:val="22"/>
        </w:rPr>
      </w:pPr>
      <w:r w:rsidRPr="002408A8">
        <w:rPr>
          <w:bCs/>
          <w:kern w:val="2"/>
          <w:sz w:val="22"/>
          <w14:ligatures w14:val="standardContextual"/>
        </w:rPr>
        <w:t>Appeals</w:t>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Pr="002408A8">
        <w:rPr>
          <w:bCs/>
          <w:kern w:val="2"/>
          <w:sz w:val="22"/>
          <w14:ligatures w14:val="standardContextual"/>
        </w:rPr>
        <w:tab/>
      </w:r>
      <w:r w:rsidR="00FC75DB" w:rsidRPr="002408A8">
        <w:rPr>
          <w:bCs/>
          <w:kern w:val="2"/>
          <w:sz w:val="22"/>
          <w14:ligatures w14:val="standardContextual"/>
        </w:rPr>
        <w:t>12</w:t>
      </w:r>
      <w:r w:rsidR="00FC75DB" w:rsidRPr="007542B3">
        <w:rPr>
          <w:sz w:val="22"/>
        </w:rPr>
        <w:t xml:space="preserve"> </w:t>
      </w:r>
    </w:p>
    <w:p w14:paraId="3E1585C1" w14:textId="26BEFB17" w:rsidR="008B4AC5" w:rsidRPr="007542B3" w:rsidRDefault="00D24C8C" w:rsidP="00BB59F5">
      <w:pPr>
        <w:pStyle w:val="Level1"/>
        <w:keepNext/>
        <w:numPr>
          <w:ilvl w:val="0"/>
          <w:numId w:val="0"/>
        </w:numPr>
        <w:ind w:left="992" w:hanging="992"/>
        <w:rPr>
          <w:sz w:val="22"/>
        </w:rPr>
      </w:pPr>
      <w:r w:rsidRPr="007542B3">
        <w:rPr>
          <w:sz w:val="22"/>
        </w:rPr>
        <w:t>Responsibiliti</w:t>
      </w:r>
      <w:r w:rsidR="002141A6" w:rsidRPr="007542B3">
        <w:rPr>
          <w:sz w:val="22"/>
        </w:rPr>
        <w:t>es</w:t>
      </w:r>
      <w:r w:rsidR="002141A6" w:rsidRPr="007542B3">
        <w:rPr>
          <w:sz w:val="22"/>
        </w:rPr>
        <w:tab/>
      </w:r>
      <w:r w:rsidR="002141A6" w:rsidRPr="007542B3">
        <w:rPr>
          <w:sz w:val="22"/>
        </w:rPr>
        <w:tab/>
      </w:r>
      <w:r w:rsidR="002141A6" w:rsidRPr="007542B3">
        <w:rPr>
          <w:sz w:val="22"/>
        </w:rPr>
        <w:tab/>
      </w:r>
      <w:r w:rsidR="002141A6" w:rsidRPr="007542B3">
        <w:rPr>
          <w:sz w:val="22"/>
        </w:rPr>
        <w:tab/>
      </w:r>
      <w:r w:rsidR="002141A6" w:rsidRPr="007542B3">
        <w:rPr>
          <w:sz w:val="22"/>
        </w:rPr>
        <w:tab/>
      </w:r>
      <w:r w:rsidR="00FC75DB" w:rsidRPr="007542B3">
        <w:rPr>
          <w:sz w:val="22"/>
        </w:rPr>
        <w:t>13</w:t>
      </w:r>
      <w:r w:rsidR="008B4AC5" w:rsidRPr="007542B3">
        <w:rPr>
          <w:sz w:val="22"/>
        </w:rPr>
        <w:tab/>
        <w:t xml:space="preserve">         </w:t>
      </w:r>
      <w:r w:rsidR="008B4AC5" w:rsidRPr="007542B3">
        <w:rPr>
          <w:sz w:val="22"/>
        </w:rPr>
        <w:tab/>
      </w:r>
      <w:r w:rsidR="008B4AC5" w:rsidRPr="007542B3">
        <w:rPr>
          <w:sz w:val="22"/>
        </w:rPr>
        <w:tab/>
      </w:r>
    </w:p>
    <w:p w14:paraId="5AB91B39" w14:textId="63AD33D9" w:rsidR="008B4AC5" w:rsidRPr="002408A8" w:rsidRDefault="008B4AC5" w:rsidP="008B4AC5">
      <w:pPr>
        <w:rPr>
          <w:rFonts w:ascii="Arial" w:hAnsi="Arial" w:cs="Arial"/>
        </w:rPr>
      </w:pPr>
      <w:r w:rsidRPr="002408A8">
        <w:rPr>
          <w:rFonts w:ascii="Arial" w:hAnsi="Arial" w:cs="Arial"/>
        </w:rPr>
        <w:t xml:space="preserve">Regulation     </w:t>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FC75DB" w:rsidRPr="002408A8">
        <w:rPr>
          <w:rFonts w:ascii="Arial" w:hAnsi="Arial" w:cs="Arial"/>
        </w:rPr>
        <w:t xml:space="preserve">14    </w:t>
      </w:r>
      <w:r w:rsidRPr="002408A8">
        <w:rPr>
          <w:rFonts w:ascii="Arial" w:hAnsi="Arial" w:cs="Arial"/>
        </w:rPr>
        <w:tab/>
      </w:r>
      <w:r w:rsidRPr="002408A8">
        <w:rPr>
          <w:rFonts w:ascii="Arial" w:hAnsi="Arial" w:cs="Arial"/>
        </w:rPr>
        <w:tab/>
      </w:r>
    </w:p>
    <w:p w14:paraId="0A5638F2" w14:textId="565D2EF6" w:rsidR="008B4AC5" w:rsidRPr="002408A8" w:rsidRDefault="008B4AC5" w:rsidP="008B4AC5">
      <w:pPr>
        <w:rPr>
          <w:rFonts w:ascii="Arial" w:hAnsi="Arial" w:cs="Arial"/>
        </w:rPr>
      </w:pPr>
      <w:r w:rsidRPr="002408A8">
        <w:rPr>
          <w:rFonts w:ascii="Arial" w:hAnsi="Arial" w:cs="Arial"/>
        </w:rPr>
        <w:t xml:space="preserve">Reporting    </w:t>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FC75DB" w:rsidRPr="002408A8">
        <w:rPr>
          <w:rFonts w:ascii="Arial" w:hAnsi="Arial" w:cs="Arial"/>
        </w:rPr>
        <w:t xml:space="preserve">15      </w:t>
      </w:r>
      <w:r w:rsidRPr="002408A8">
        <w:rPr>
          <w:rFonts w:ascii="Arial" w:hAnsi="Arial" w:cs="Arial"/>
        </w:rPr>
        <w:tab/>
        <w:t xml:space="preserve">        </w:t>
      </w:r>
      <w:r w:rsidRPr="002408A8">
        <w:rPr>
          <w:rFonts w:ascii="Arial" w:hAnsi="Arial" w:cs="Arial"/>
        </w:rPr>
        <w:tab/>
      </w:r>
    </w:p>
    <w:p w14:paraId="28D34A39" w14:textId="4538CA23" w:rsidR="008B4AC5" w:rsidRPr="002408A8" w:rsidRDefault="008B4AC5" w:rsidP="008B4AC5">
      <w:pPr>
        <w:rPr>
          <w:rFonts w:ascii="Arial" w:hAnsi="Arial" w:cs="Arial"/>
        </w:rPr>
      </w:pPr>
      <w:r w:rsidRPr="002408A8">
        <w:rPr>
          <w:rFonts w:ascii="Arial" w:hAnsi="Arial" w:cs="Arial"/>
        </w:rPr>
        <w:t xml:space="preserve">Consultation     </w:t>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BB59F5" w:rsidRPr="002408A8">
        <w:rPr>
          <w:rFonts w:ascii="Arial" w:hAnsi="Arial" w:cs="Arial"/>
        </w:rPr>
        <w:tab/>
      </w:r>
      <w:r w:rsidR="00FC75DB" w:rsidRPr="002408A8">
        <w:rPr>
          <w:rFonts w:ascii="Arial" w:hAnsi="Arial" w:cs="Arial"/>
        </w:rPr>
        <w:t>16</w:t>
      </w:r>
      <w:r w:rsidRPr="002408A8">
        <w:rPr>
          <w:rFonts w:ascii="Arial" w:hAnsi="Arial" w:cs="Arial"/>
        </w:rPr>
        <w:tab/>
        <w:t xml:space="preserve">        </w:t>
      </w:r>
      <w:r w:rsidRPr="002408A8">
        <w:rPr>
          <w:rFonts w:ascii="Arial" w:hAnsi="Arial" w:cs="Arial"/>
        </w:rPr>
        <w:tab/>
      </w:r>
    </w:p>
    <w:p w14:paraId="37E40720" w14:textId="7F55E181" w:rsidR="00160D63" w:rsidRPr="002408A8" w:rsidRDefault="008B4AC5" w:rsidP="008B4AC5">
      <w:pPr>
        <w:rPr>
          <w:rFonts w:ascii="Arial" w:hAnsi="Arial" w:cs="Arial"/>
        </w:rPr>
      </w:pPr>
      <w:r w:rsidRPr="002408A8">
        <w:rPr>
          <w:rFonts w:ascii="Arial" w:hAnsi="Arial" w:cs="Arial"/>
        </w:rPr>
        <w:t xml:space="preserve">Communication </w:t>
      </w:r>
      <w:r w:rsidRPr="007542B3">
        <w:rPr>
          <w:rFonts w:ascii="Arial" w:hAnsi="Arial" w:cs="Arial"/>
        </w:rPr>
        <w:tab/>
      </w:r>
      <w:r w:rsidRPr="007542B3">
        <w:rPr>
          <w:rFonts w:ascii="Arial" w:hAnsi="Arial" w:cs="Arial"/>
        </w:rPr>
        <w:tab/>
      </w:r>
      <w:r w:rsidRPr="007542B3">
        <w:rPr>
          <w:rFonts w:ascii="Arial" w:hAnsi="Arial" w:cs="Arial"/>
        </w:rPr>
        <w:tab/>
      </w:r>
      <w:r w:rsidRPr="007542B3">
        <w:rPr>
          <w:rFonts w:ascii="Arial" w:hAnsi="Arial" w:cs="Arial"/>
        </w:rPr>
        <w:tab/>
      </w:r>
      <w:r w:rsidRPr="007542B3">
        <w:rPr>
          <w:rFonts w:ascii="Arial" w:hAnsi="Arial" w:cs="Arial"/>
        </w:rPr>
        <w:tab/>
      </w:r>
      <w:r w:rsidR="00FC75DB" w:rsidRPr="002408A8">
        <w:rPr>
          <w:rFonts w:ascii="Arial" w:hAnsi="Arial" w:cs="Arial"/>
        </w:rPr>
        <w:t xml:space="preserve">17 </w:t>
      </w:r>
    </w:p>
    <w:p w14:paraId="6DCB7FD4" w14:textId="4BB1FD16" w:rsidR="0047262E" w:rsidRPr="002408A8" w:rsidRDefault="0047262E" w:rsidP="008B4AC5">
      <w:pPr>
        <w:rPr>
          <w:rFonts w:ascii="Arial" w:hAnsi="Arial" w:cs="Arial"/>
        </w:rPr>
      </w:pPr>
      <w:r w:rsidRPr="002408A8">
        <w:rPr>
          <w:rFonts w:ascii="Arial" w:hAnsi="Arial" w:cs="Arial"/>
        </w:rPr>
        <w:t>Appendix 1</w:t>
      </w:r>
      <w:r w:rsidR="002A0921" w:rsidRPr="002408A8">
        <w:rPr>
          <w:rFonts w:ascii="Arial" w:hAnsi="Arial" w:cs="Arial"/>
        </w:rPr>
        <w:tab/>
      </w:r>
      <w:r w:rsidR="002A0921" w:rsidRPr="002408A8">
        <w:rPr>
          <w:rFonts w:ascii="Arial" w:hAnsi="Arial" w:cs="Arial"/>
        </w:rPr>
        <w:tab/>
      </w:r>
      <w:r w:rsidR="002A0921" w:rsidRPr="002408A8">
        <w:rPr>
          <w:rFonts w:ascii="Arial" w:hAnsi="Arial" w:cs="Arial"/>
        </w:rPr>
        <w:tab/>
      </w:r>
      <w:r w:rsidR="002A0921" w:rsidRPr="002408A8">
        <w:rPr>
          <w:rFonts w:ascii="Arial" w:hAnsi="Arial" w:cs="Arial"/>
        </w:rPr>
        <w:tab/>
      </w:r>
      <w:r w:rsidR="002A0921" w:rsidRPr="002408A8">
        <w:rPr>
          <w:rFonts w:ascii="Arial" w:hAnsi="Arial" w:cs="Arial"/>
        </w:rPr>
        <w:tab/>
      </w:r>
      <w:r w:rsidR="002A0921" w:rsidRPr="002408A8">
        <w:rPr>
          <w:rFonts w:ascii="Arial" w:hAnsi="Arial" w:cs="Arial"/>
        </w:rPr>
        <w:tab/>
      </w:r>
      <w:r w:rsidR="00FC75DB" w:rsidRPr="002408A8">
        <w:rPr>
          <w:rFonts w:ascii="Arial" w:hAnsi="Arial" w:cs="Arial"/>
        </w:rPr>
        <w:t>18</w:t>
      </w:r>
    </w:p>
    <w:p w14:paraId="4EF7EB3E" w14:textId="79E4E9D0" w:rsidR="002C18EB" w:rsidRPr="002408A8" w:rsidRDefault="002C18EB" w:rsidP="008B4AC5">
      <w:pPr>
        <w:rPr>
          <w:rFonts w:ascii="Arial" w:hAnsi="Arial" w:cs="Arial"/>
        </w:rPr>
      </w:pPr>
      <w:r w:rsidRPr="002408A8">
        <w:rPr>
          <w:rFonts w:ascii="Arial" w:hAnsi="Arial" w:cs="Arial"/>
        </w:rPr>
        <w:t>Resident Equality and Risk Impact Assessment</w:t>
      </w:r>
    </w:p>
    <w:p w14:paraId="742E4A8F" w14:textId="43EC20C3" w:rsidR="008B4AC5" w:rsidRPr="002408A8" w:rsidRDefault="008B4AC5" w:rsidP="008B4AC5">
      <w:pPr>
        <w:rPr>
          <w:rFonts w:ascii="Arial" w:hAnsi="Arial" w:cs="Arial"/>
        </w:rPr>
      </w:pPr>
      <w:r w:rsidRPr="002408A8">
        <w:rPr>
          <w:rFonts w:ascii="Arial" w:hAnsi="Arial" w:cs="Arial"/>
        </w:rPr>
        <w:t>Summary</w:t>
      </w:r>
      <w:r w:rsidR="003B42E4" w:rsidRPr="002408A8">
        <w:rPr>
          <w:rFonts w:ascii="Arial" w:hAnsi="Arial" w:cs="Arial"/>
        </w:rPr>
        <w:t xml:space="preserve"> of Material Changes</w:t>
      </w:r>
      <w:r w:rsidRPr="002408A8">
        <w:rPr>
          <w:rFonts w:ascii="Arial" w:hAnsi="Arial" w:cs="Arial"/>
        </w:rPr>
        <w:t xml:space="preserve"> </w:t>
      </w:r>
      <w:r w:rsidRPr="007542B3">
        <w:rPr>
          <w:rFonts w:ascii="Arial" w:hAnsi="Arial" w:cs="Arial"/>
        </w:rPr>
        <w:tab/>
      </w:r>
      <w:r w:rsidRPr="007542B3">
        <w:rPr>
          <w:rFonts w:ascii="Arial" w:hAnsi="Arial" w:cs="Arial"/>
        </w:rPr>
        <w:tab/>
      </w:r>
    </w:p>
    <w:p w14:paraId="3B382081" w14:textId="74DB8A7B" w:rsidR="4706A4B4" w:rsidRPr="007542B3" w:rsidRDefault="4706A4B4">
      <w:pPr>
        <w:rPr>
          <w:rFonts w:ascii="Arial" w:hAnsi="Arial" w:cs="Arial"/>
        </w:rPr>
      </w:pPr>
    </w:p>
    <w:p w14:paraId="22CB0D43" w14:textId="5AEE4116" w:rsidR="4706A4B4" w:rsidRPr="007542B3" w:rsidRDefault="4706A4B4">
      <w:pPr>
        <w:rPr>
          <w:rFonts w:ascii="Arial" w:hAnsi="Arial" w:cs="Arial"/>
        </w:rPr>
      </w:pPr>
    </w:p>
    <w:p w14:paraId="29B2FAEF" w14:textId="77777777" w:rsidR="00521C44" w:rsidRPr="002408A8" w:rsidRDefault="00521C44" w:rsidP="00521C44">
      <w:pPr>
        <w:rPr>
          <w:rFonts w:ascii="Arial" w:hAnsi="Arial" w:cs="Arial"/>
        </w:rPr>
      </w:pPr>
    </w:p>
    <w:p w14:paraId="1D1E9482" w14:textId="77777777" w:rsidR="00521C44" w:rsidRPr="002408A8" w:rsidRDefault="00521C44" w:rsidP="00521C44">
      <w:pPr>
        <w:rPr>
          <w:rFonts w:ascii="Arial" w:hAnsi="Arial" w:cs="Arial"/>
        </w:rPr>
      </w:pPr>
    </w:p>
    <w:p w14:paraId="3933FE78" w14:textId="77777777" w:rsidR="00521C44" w:rsidRPr="002408A8" w:rsidRDefault="00521C44" w:rsidP="00521C44">
      <w:pPr>
        <w:rPr>
          <w:rFonts w:ascii="Arial" w:hAnsi="Arial" w:cs="Arial"/>
        </w:rPr>
      </w:pPr>
      <w:r w:rsidRPr="002408A8">
        <w:rPr>
          <w:rFonts w:ascii="Arial" w:hAnsi="Arial" w:cs="Arial"/>
        </w:rPr>
        <w:t xml:space="preserve"> </w:t>
      </w:r>
    </w:p>
    <w:p w14:paraId="1AB60F26" w14:textId="77777777" w:rsidR="00521C44" w:rsidRPr="002408A8" w:rsidRDefault="00521C44" w:rsidP="00521C44">
      <w:pPr>
        <w:rPr>
          <w:rFonts w:ascii="Arial" w:hAnsi="Arial" w:cs="Arial"/>
        </w:rPr>
      </w:pPr>
    </w:p>
    <w:p w14:paraId="556FD834" w14:textId="77777777" w:rsidR="00521C44" w:rsidRPr="002408A8" w:rsidRDefault="00521C44" w:rsidP="00521C44">
      <w:pPr>
        <w:rPr>
          <w:rFonts w:ascii="Arial" w:hAnsi="Arial" w:cs="Arial"/>
        </w:rPr>
      </w:pPr>
      <w:r w:rsidRPr="002408A8">
        <w:rPr>
          <w:rFonts w:ascii="Arial" w:hAnsi="Arial" w:cs="Arial"/>
        </w:rPr>
        <w:t xml:space="preserve"> </w:t>
      </w:r>
    </w:p>
    <w:p w14:paraId="3EC633F5" w14:textId="77777777" w:rsidR="00521C44" w:rsidRPr="002408A8" w:rsidRDefault="00521C44" w:rsidP="00521C44">
      <w:pPr>
        <w:rPr>
          <w:rFonts w:ascii="Arial" w:hAnsi="Arial" w:cs="Arial"/>
        </w:rPr>
      </w:pPr>
    </w:p>
    <w:p w14:paraId="419988BB" w14:textId="1BA52E61" w:rsidR="00EF0CA2" w:rsidRPr="008806E3" w:rsidRDefault="00521C44" w:rsidP="00521C44">
      <w:pPr>
        <w:rPr>
          <w:rFonts w:ascii="Arial" w:hAnsi="Arial" w:cs="Arial"/>
        </w:rPr>
      </w:pPr>
      <w:r w:rsidRPr="002408A8">
        <w:rPr>
          <w:rFonts w:ascii="Arial" w:hAnsi="Arial" w:cs="Arial"/>
        </w:rPr>
        <w:t xml:space="preserve"> </w:t>
      </w:r>
    </w:p>
    <w:p w14:paraId="7017381E" w14:textId="7933752F" w:rsidR="00A90DDB" w:rsidRPr="007542B3" w:rsidRDefault="00A90DDB" w:rsidP="001B02CF">
      <w:pPr>
        <w:pStyle w:val="Level1"/>
        <w:keepNext/>
        <w:numPr>
          <w:ilvl w:val="0"/>
          <w:numId w:val="2"/>
        </w:numPr>
        <w:ind w:left="426" w:hanging="710"/>
        <w:rPr>
          <w:rStyle w:val="Level1asheadingtext"/>
          <w:b w:val="0"/>
          <w:sz w:val="22"/>
        </w:rPr>
      </w:pPr>
      <w:r w:rsidRPr="007542B3">
        <w:rPr>
          <w:rStyle w:val="Level1asheadingtext"/>
          <w:sz w:val="22"/>
        </w:rPr>
        <w:lastRenderedPageBreak/>
        <w:t>Introduction: the purpose of this policy</w:t>
      </w:r>
    </w:p>
    <w:p w14:paraId="225957BE" w14:textId="4A9E2E0B" w:rsidR="00F26398" w:rsidRPr="007542B3" w:rsidRDefault="00902F21" w:rsidP="00104346">
      <w:pPr>
        <w:pStyle w:val="Level1"/>
        <w:numPr>
          <w:ilvl w:val="0"/>
          <w:numId w:val="0"/>
        </w:numPr>
        <w:ind w:left="426" w:hanging="426"/>
        <w:rPr>
          <w:sz w:val="22"/>
        </w:rPr>
      </w:pPr>
      <w:r w:rsidRPr="007542B3">
        <w:rPr>
          <w:sz w:val="22"/>
        </w:rPr>
        <w:t>1.</w:t>
      </w:r>
      <w:r w:rsidR="008959C7" w:rsidRPr="007542B3">
        <w:rPr>
          <w:sz w:val="22"/>
        </w:rPr>
        <w:t>1</w:t>
      </w:r>
      <w:r w:rsidRPr="007542B3">
        <w:rPr>
          <w:sz w:val="22"/>
        </w:rPr>
        <w:tab/>
      </w:r>
      <w:r w:rsidR="00F46ACD" w:rsidRPr="007542B3">
        <w:rPr>
          <w:sz w:val="22"/>
        </w:rPr>
        <w:t>Succession occurs when a tenant dies, and an eligible person has a right either by law or given in the tenancy agreement to take over the tenancy.</w:t>
      </w:r>
      <w:r w:rsidR="00F26398" w:rsidRPr="007542B3">
        <w:rPr>
          <w:sz w:val="22"/>
        </w:rPr>
        <w:t xml:space="preserve"> </w:t>
      </w:r>
      <w:r w:rsidR="00104346" w:rsidRPr="007542B3">
        <w:rPr>
          <w:sz w:val="22"/>
        </w:rPr>
        <w:t xml:space="preserve">A successor is a person who is the tenant after a succession. They take over the rights and responsibilities of the tenancy. </w:t>
      </w:r>
    </w:p>
    <w:p w14:paraId="1C000230" w14:textId="68702100" w:rsidR="008959C7" w:rsidRPr="007542B3" w:rsidRDefault="008959C7" w:rsidP="008959C7">
      <w:pPr>
        <w:pStyle w:val="Level1"/>
        <w:numPr>
          <w:ilvl w:val="0"/>
          <w:numId w:val="0"/>
        </w:numPr>
        <w:ind w:left="426" w:hanging="426"/>
        <w:rPr>
          <w:sz w:val="22"/>
        </w:rPr>
      </w:pPr>
      <w:r w:rsidRPr="007542B3">
        <w:rPr>
          <w:sz w:val="22"/>
        </w:rPr>
        <w:t>1.2</w:t>
      </w:r>
      <w:r w:rsidRPr="007542B3">
        <w:rPr>
          <w:sz w:val="22"/>
        </w:rPr>
        <w:tab/>
        <w:t>This policy set</w:t>
      </w:r>
      <w:r w:rsidR="75D47948" w:rsidRPr="007542B3">
        <w:rPr>
          <w:sz w:val="22"/>
        </w:rPr>
        <w:t>s</w:t>
      </w:r>
      <w:r w:rsidRPr="007542B3">
        <w:rPr>
          <w:sz w:val="22"/>
        </w:rPr>
        <w:t xml:space="preserve"> out the conditions under which someone may succeed to a tenancy after a </w:t>
      </w:r>
      <w:r w:rsidR="4E7A14BB" w:rsidRPr="007542B3">
        <w:rPr>
          <w:sz w:val="22"/>
        </w:rPr>
        <w:t>tenant's</w:t>
      </w:r>
      <w:r w:rsidRPr="007542B3">
        <w:rPr>
          <w:sz w:val="22"/>
        </w:rPr>
        <w:t xml:space="preserve"> death.</w:t>
      </w:r>
    </w:p>
    <w:p w14:paraId="29A6B7DC" w14:textId="2F75F59B" w:rsidR="00F71C6F" w:rsidRPr="007542B3" w:rsidRDefault="00C17058" w:rsidP="00104346">
      <w:pPr>
        <w:pStyle w:val="Level1"/>
        <w:numPr>
          <w:ilvl w:val="0"/>
          <w:numId w:val="0"/>
        </w:numPr>
        <w:ind w:left="426" w:hanging="426"/>
        <w:rPr>
          <w:sz w:val="22"/>
        </w:rPr>
      </w:pPr>
      <w:r w:rsidRPr="007542B3">
        <w:rPr>
          <w:sz w:val="22"/>
        </w:rPr>
        <w:t>1.3</w:t>
      </w:r>
      <w:r w:rsidRPr="007542B3">
        <w:rPr>
          <w:sz w:val="22"/>
        </w:rPr>
        <w:tab/>
      </w:r>
      <w:r w:rsidR="00F71C6F" w:rsidRPr="007542B3">
        <w:rPr>
          <w:sz w:val="22"/>
        </w:rPr>
        <w:t>We recognise that following the death of a tenant, their family members will be upset and grieving and that any requests for succession need to be handled with sensitivity and care.</w:t>
      </w:r>
    </w:p>
    <w:p w14:paraId="404815E4" w14:textId="16BEA8C2" w:rsidR="009527B7" w:rsidRPr="007542B3" w:rsidRDefault="009527B7" w:rsidP="00104346">
      <w:pPr>
        <w:pStyle w:val="Level1"/>
        <w:numPr>
          <w:ilvl w:val="0"/>
          <w:numId w:val="0"/>
        </w:numPr>
        <w:ind w:left="426" w:hanging="426"/>
        <w:rPr>
          <w:sz w:val="22"/>
        </w:rPr>
      </w:pPr>
      <w:r w:rsidRPr="007542B3">
        <w:rPr>
          <w:sz w:val="22"/>
        </w:rPr>
        <w:t>1.</w:t>
      </w:r>
      <w:r w:rsidR="00C17058" w:rsidRPr="007542B3">
        <w:rPr>
          <w:sz w:val="22"/>
        </w:rPr>
        <w:t>4</w:t>
      </w:r>
      <w:r w:rsidRPr="007542B3">
        <w:rPr>
          <w:sz w:val="22"/>
        </w:rPr>
        <w:tab/>
      </w:r>
      <w:r w:rsidR="006B5D25" w:rsidRPr="007542B3">
        <w:rPr>
          <w:sz w:val="22"/>
        </w:rPr>
        <w:t>Our approach to succession is</w:t>
      </w:r>
      <w:r w:rsidR="001B7E5E" w:rsidRPr="007542B3">
        <w:rPr>
          <w:sz w:val="22"/>
        </w:rPr>
        <w:t xml:space="preserve"> defined by </w:t>
      </w:r>
      <w:r w:rsidR="00D53DF2" w:rsidRPr="007542B3">
        <w:rPr>
          <w:sz w:val="22"/>
        </w:rPr>
        <w:t>statute</w:t>
      </w:r>
      <w:r w:rsidR="001B7E5E" w:rsidRPr="007542B3">
        <w:rPr>
          <w:sz w:val="22"/>
        </w:rPr>
        <w:t xml:space="preserve"> and the tenancy agreement.  </w:t>
      </w:r>
      <w:r w:rsidR="00D121EE" w:rsidRPr="007542B3">
        <w:rPr>
          <w:sz w:val="22"/>
        </w:rPr>
        <w:t>Succession is dependent on</w:t>
      </w:r>
      <w:r w:rsidR="008720F3" w:rsidRPr="007542B3">
        <w:rPr>
          <w:sz w:val="22"/>
        </w:rPr>
        <w:t>:</w:t>
      </w:r>
    </w:p>
    <w:p w14:paraId="5C355D8F" w14:textId="54A22564" w:rsidR="00D121EE" w:rsidRPr="007542B3" w:rsidRDefault="00CD5D63" w:rsidP="001B02CF">
      <w:pPr>
        <w:pStyle w:val="Level1"/>
        <w:numPr>
          <w:ilvl w:val="0"/>
          <w:numId w:val="5"/>
        </w:numPr>
        <w:spacing w:line="240" w:lineRule="auto"/>
        <w:rPr>
          <w:sz w:val="22"/>
        </w:rPr>
      </w:pPr>
      <w:r w:rsidRPr="007542B3">
        <w:rPr>
          <w:sz w:val="22"/>
        </w:rPr>
        <w:t>The law</w:t>
      </w:r>
    </w:p>
    <w:p w14:paraId="3E22A996" w14:textId="289163EF" w:rsidR="00CA5CDE" w:rsidRPr="007542B3" w:rsidRDefault="00CA5CDE" w:rsidP="001B02CF">
      <w:pPr>
        <w:pStyle w:val="Level1"/>
        <w:numPr>
          <w:ilvl w:val="0"/>
          <w:numId w:val="5"/>
        </w:numPr>
        <w:spacing w:line="240" w:lineRule="auto"/>
        <w:rPr>
          <w:sz w:val="22"/>
        </w:rPr>
      </w:pPr>
      <w:r w:rsidRPr="007542B3">
        <w:rPr>
          <w:sz w:val="22"/>
        </w:rPr>
        <w:t>The relationship to the deceased tenant</w:t>
      </w:r>
    </w:p>
    <w:p w14:paraId="4264C765" w14:textId="6C166E5F" w:rsidR="00CA5CDE" w:rsidRPr="007542B3" w:rsidRDefault="00236B00" w:rsidP="001B02CF">
      <w:pPr>
        <w:pStyle w:val="Level1"/>
        <w:numPr>
          <w:ilvl w:val="0"/>
          <w:numId w:val="5"/>
        </w:numPr>
        <w:spacing w:line="240" w:lineRule="auto"/>
        <w:rPr>
          <w:sz w:val="22"/>
        </w:rPr>
      </w:pPr>
      <w:r w:rsidRPr="007542B3">
        <w:rPr>
          <w:sz w:val="22"/>
        </w:rPr>
        <w:t>How long the applicant has lived in the home</w:t>
      </w:r>
    </w:p>
    <w:p w14:paraId="7C1B1B92" w14:textId="02DD0A37" w:rsidR="00236B00" w:rsidRPr="007542B3" w:rsidRDefault="00D53DF2" w:rsidP="001B02CF">
      <w:pPr>
        <w:pStyle w:val="Level1"/>
        <w:numPr>
          <w:ilvl w:val="0"/>
          <w:numId w:val="5"/>
        </w:numPr>
        <w:spacing w:line="240" w:lineRule="auto"/>
        <w:rPr>
          <w:sz w:val="22"/>
        </w:rPr>
      </w:pPr>
      <w:r w:rsidRPr="007542B3">
        <w:rPr>
          <w:sz w:val="22"/>
        </w:rPr>
        <w:t>The tenancy agreement</w:t>
      </w:r>
      <w:r w:rsidR="007049E7" w:rsidRPr="007542B3">
        <w:rPr>
          <w:sz w:val="22"/>
        </w:rPr>
        <w:t>.</w:t>
      </w:r>
    </w:p>
    <w:p w14:paraId="7260BF9F" w14:textId="535CB23C" w:rsidR="006037FE" w:rsidRPr="007542B3" w:rsidRDefault="00D7655B" w:rsidP="006B26E8">
      <w:pPr>
        <w:pStyle w:val="Level1"/>
        <w:numPr>
          <w:ilvl w:val="0"/>
          <w:numId w:val="0"/>
        </w:numPr>
        <w:ind w:left="426" w:hanging="426"/>
        <w:rPr>
          <w:sz w:val="22"/>
        </w:rPr>
      </w:pPr>
      <w:r w:rsidRPr="007542B3">
        <w:rPr>
          <w:sz w:val="22"/>
        </w:rPr>
        <w:t>1.</w:t>
      </w:r>
      <w:r w:rsidR="00C17058" w:rsidRPr="007542B3">
        <w:rPr>
          <w:sz w:val="22"/>
        </w:rPr>
        <w:t>5</w:t>
      </w:r>
      <w:r w:rsidRPr="007542B3">
        <w:rPr>
          <w:sz w:val="22"/>
        </w:rPr>
        <w:tab/>
      </w:r>
      <w:r w:rsidR="00411D46" w:rsidRPr="007542B3">
        <w:rPr>
          <w:sz w:val="22"/>
        </w:rPr>
        <w:t>Our policy explains</w:t>
      </w:r>
      <w:r w:rsidR="008720F3" w:rsidRPr="007542B3">
        <w:rPr>
          <w:sz w:val="22"/>
        </w:rPr>
        <w:t>:</w:t>
      </w:r>
    </w:p>
    <w:p w14:paraId="75D1BD72" w14:textId="1412CE6C" w:rsidR="00411D46" w:rsidRPr="007542B3" w:rsidRDefault="00411D46" w:rsidP="001B02CF">
      <w:pPr>
        <w:pStyle w:val="Level1"/>
        <w:numPr>
          <w:ilvl w:val="0"/>
          <w:numId w:val="6"/>
        </w:numPr>
        <w:spacing w:line="240" w:lineRule="auto"/>
        <w:rPr>
          <w:sz w:val="22"/>
        </w:rPr>
      </w:pPr>
      <w:r w:rsidRPr="007542B3">
        <w:rPr>
          <w:sz w:val="22"/>
        </w:rPr>
        <w:t>Who can succeed</w:t>
      </w:r>
    </w:p>
    <w:p w14:paraId="148D757B" w14:textId="4202BB44" w:rsidR="00411D46" w:rsidRPr="007542B3" w:rsidRDefault="00173F30" w:rsidP="001B02CF">
      <w:pPr>
        <w:pStyle w:val="Level1"/>
        <w:numPr>
          <w:ilvl w:val="0"/>
          <w:numId w:val="6"/>
        </w:numPr>
        <w:spacing w:line="240" w:lineRule="auto"/>
        <w:rPr>
          <w:sz w:val="22"/>
        </w:rPr>
      </w:pPr>
      <w:r w:rsidRPr="007542B3">
        <w:rPr>
          <w:sz w:val="22"/>
        </w:rPr>
        <w:t>The difference between survivorship and other succession</w:t>
      </w:r>
    </w:p>
    <w:p w14:paraId="3CA5CA5B" w14:textId="77AA8FAA" w:rsidR="00173F30" w:rsidRPr="007542B3" w:rsidRDefault="001A4D07" w:rsidP="001B02CF">
      <w:pPr>
        <w:pStyle w:val="Level1"/>
        <w:numPr>
          <w:ilvl w:val="0"/>
          <w:numId w:val="6"/>
        </w:numPr>
        <w:spacing w:line="240" w:lineRule="auto"/>
        <w:rPr>
          <w:sz w:val="22"/>
        </w:rPr>
      </w:pPr>
      <w:r w:rsidRPr="007542B3">
        <w:rPr>
          <w:sz w:val="22"/>
        </w:rPr>
        <w:t xml:space="preserve">Statutory </w:t>
      </w:r>
      <w:r w:rsidR="00236F57" w:rsidRPr="007542B3">
        <w:rPr>
          <w:sz w:val="22"/>
        </w:rPr>
        <w:t>s</w:t>
      </w:r>
      <w:r w:rsidRPr="007542B3">
        <w:rPr>
          <w:sz w:val="22"/>
        </w:rPr>
        <w:t>uccession</w:t>
      </w:r>
    </w:p>
    <w:p w14:paraId="51E53BA1" w14:textId="0C00B55E" w:rsidR="001A4D07" w:rsidRPr="007542B3" w:rsidRDefault="001A4D07" w:rsidP="001B02CF">
      <w:pPr>
        <w:pStyle w:val="Level1"/>
        <w:numPr>
          <w:ilvl w:val="0"/>
          <w:numId w:val="6"/>
        </w:numPr>
        <w:spacing w:line="240" w:lineRule="auto"/>
        <w:rPr>
          <w:sz w:val="22"/>
        </w:rPr>
      </w:pPr>
      <w:r w:rsidRPr="007542B3">
        <w:rPr>
          <w:sz w:val="22"/>
        </w:rPr>
        <w:t>Contractual succession under the terms of the tenancy agreement</w:t>
      </w:r>
    </w:p>
    <w:p w14:paraId="083B6A2A" w14:textId="25C3E5CA" w:rsidR="00A0666A" w:rsidRPr="007542B3" w:rsidRDefault="00FA7435" w:rsidP="001B02CF">
      <w:pPr>
        <w:pStyle w:val="Level1"/>
        <w:numPr>
          <w:ilvl w:val="0"/>
          <w:numId w:val="6"/>
        </w:numPr>
        <w:spacing w:line="240" w:lineRule="auto"/>
        <w:rPr>
          <w:sz w:val="22"/>
        </w:rPr>
      </w:pPr>
      <w:r w:rsidRPr="007542B3">
        <w:rPr>
          <w:sz w:val="22"/>
        </w:rPr>
        <w:t>When and how we may exercise discretion when there is no right to succeed</w:t>
      </w:r>
    </w:p>
    <w:p w14:paraId="7D096820" w14:textId="10B4D68A" w:rsidR="00FA7435" w:rsidRPr="007542B3" w:rsidRDefault="00CA0CED" w:rsidP="001B02CF">
      <w:pPr>
        <w:pStyle w:val="Level1"/>
        <w:numPr>
          <w:ilvl w:val="0"/>
          <w:numId w:val="6"/>
        </w:numPr>
        <w:spacing w:line="240" w:lineRule="auto"/>
        <w:rPr>
          <w:sz w:val="22"/>
        </w:rPr>
      </w:pPr>
      <w:r w:rsidRPr="007542B3">
        <w:rPr>
          <w:sz w:val="22"/>
        </w:rPr>
        <w:t>What happens when there is no right to succeed</w:t>
      </w:r>
    </w:p>
    <w:p w14:paraId="40022A11" w14:textId="519E9C05" w:rsidR="00F15CF1" w:rsidRPr="007542B3" w:rsidRDefault="00F15CF1" w:rsidP="001B02CF">
      <w:pPr>
        <w:pStyle w:val="Level1"/>
        <w:numPr>
          <w:ilvl w:val="0"/>
          <w:numId w:val="6"/>
        </w:numPr>
        <w:spacing w:line="240" w:lineRule="auto"/>
        <w:rPr>
          <w:sz w:val="22"/>
        </w:rPr>
      </w:pPr>
      <w:r w:rsidRPr="007542B3">
        <w:rPr>
          <w:sz w:val="22"/>
        </w:rPr>
        <w:t>How tenancies can be assigned</w:t>
      </w:r>
    </w:p>
    <w:p w14:paraId="3733D7DC" w14:textId="59BA8AC3" w:rsidR="00CA0CED" w:rsidRPr="007542B3" w:rsidRDefault="00CA0CED" w:rsidP="001B02CF">
      <w:pPr>
        <w:pStyle w:val="Level1"/>
        <w:numPr>
          <w:ilvl w:val="0"/>
          <w:numId w:val="6"/>
        </w:numPr>
        <w:spacing w:line="240" w:lineRule="auto"/>
        <w:rPr>
          <w:sz w:val="22"/>
        </w:rPr>
      </w:pPr>
      <w:r w:rsidRPr="007542B3">
        <w:rPr>
          <w:sz w:val="22"/>
        </w:rPr>
        <w:t>The appeals process</w:t>
      </w:r>
      <w:r w:rsidR="00C06CAC" w:rsidRPr="007542B3">
        <w:rPr>
          <w:sz w:val="22"/>
        </w:rPr>
        <w:t>.</w:t>
      </w:r>
    </w:p>
    <w:p w14:paraId="0ABBF8CD" w14:textId="2D8B9E57" w:rsidR="00923C21" w:rsidRPr="007542B3" w:rsidRDefault="00923C21" w:rsidP="00923C21">
      <w:pPr>
        <w:pStyle w:val="Level1"/>
        <w:numPr>
          <w:ilvl w:val="0"/>
          <w:numId w:val="0"/>
        </w:numPr>
        <w:ind w:left="426" w:hanging="426"/>
        <w:rPr>
          <w:sz w:val="22"/>
        </w:rPr>
      </w:pPr>
      <w:r w:rsidRPr="007542B3">
        <w:rPr>
          <w:sz w:val="22"/>
        </w:rPr>
        <w:t xml:space="preserve">1.6 </w:t>
      </w:r>
      <w:r w:rsidRPr="007542B3">
        <w:rPr>
          <w:sz w:val="22"/>
        </w:rPr>
        <w:tab/>
        <w:t>We aim to provide a fair and efficient service when processing succession requests by</w:t>
      </w:r>
      <w:r w:rsidR="008720F3" w:rsidRPr="007542B3">
        <w:rPr>
          <w:sz w:val="22"/>
        </w:rPr>
        <w:t>:</w:t>
      </w:r>
    </w:p>
    <w:p w14:paraId="68447436" w14:textId="32DE4D6F" w:rsidR="00923C21" w:rsidRPr="007542B3" w:rsidRDefault="00923C21" w:rsidP="001B02CF">
      <w:pPr>
        <w:pStyle w:val="Level1"/>
        <w:numPr>
          <w:ilvl w:val="0"/>
          <w:numId w:val="6"/>
        </w:numPr>
        <w:spacing w:line="240" w:lineRule="auto"/>
        <w:rPr>
          <w:sz w:val="22"/>
        </w:rPr>
      </w:pPr>
      <w:r w:rsidRPr="007542B3">
        <w:rPr>
          <w:sz w:val="22"/>
        </w:rPr>
        <w:t>dealing sensitively with residents at a time of grief and loss</w:t>
      </w:r>
    </w:p>
    <w:p w14:paraId="252B2E1C" w14:textId="5427E560" w:rsidR="00923C21" w:rsidRPr="007542B3" w:rsidRDefault="00923C21" w:rsidP="001B02CF">
      <w:pPr>
        <w:pStyle w:val="Level1"/>
        <w:numPr>
          <w:ilvl w:val="0"/>
          <w:numId w:val="6"/>
        </w:numPr>
        <w:spacing w:line="240" w:lineRule="auto"/>
        <w:rPr>
          <w:sz w:val="22"/>
        </w:rPr>
      </w:pPr>
      <w:r w:rsidRPr="007542B3">
        <w:rPr>
          <w:sz w:val="22"/>
        </w:rPr>
        <w:t xml:space="preserve">meeting our statutory and contractual obligations </w:t>
      </w:r>
    </w:p>
    <w:p w14:paraId="0494B0A2" w14:textId="5FEBC793" w:rsidR="00923C21" w:rsidRPr="007542B3" w:rsidRDefault="00923C21" w:rsidP="001B02CF">
      <w:pPr>
        <w:pStyle w:val="Level1"/>
        <w:numPr>
          <w:ilvl w:val="0"/>
          <w:numId w:val="6"/>
        </w:numPr>
        <w:spacing w:line="240" w:lineRule="auto"/>
        <w:rPr>
          <w:sz w:val="22"/>
        </w:rPr>
      </w:pPr>
      <w:r w:rsidRPr="007542B3">
        <w:rPr>
          <w:sz w:val="22"/>
        </w:rPr>
        <w:t>making the best and most efficient use of our available housing stock</w:t>
      </w:r>
    </w:p>
    <w:p w14:paraId="12B1073D" w14:textId="2BCB4093" w:rsidR="00E6465E" w:rsidRPr="007542B3" w:rsidRDefault="00D75978" w:rsidP="001B02CF">
      <w:pPr>
        <w:pStyle w:val="Level1"/>
        <w:numPr>
          <w:ilvl w:val="0"/>
          <w:numId w:val="6"/>
        </w:numPr>
        <w:spacing w:line="240" w:lineRule="auto"/>
        <w:rPr>
          <w:sz w:val="22"/>
        </w:rPr>
      </w:pPr>
      <w:r w:rsidRPr="007542B3">
        <w:rPr>
          <w:sz w:val="22"/>
        </w:rPr>
        <w:t>r</w:t>
      </w:r>
      <w:r w:rsidR="00E6465E" w:rsidRPr="007542B3">
        <w:rPr>
          <w:sz w:val="22"/>
        </w:rPr>
        <w:t>espond</w:t>
      </w:r>
      <w:r w:rsidR="00BB5D19" w:rsidRPr="007542B3">
        <w:rPr>
          <w:sz w:val="22"/>
        </w:rPr>
        <w:t>ing</w:t>
      </w:r>
      <w:r w:rsidR="00E6465E" w:rsidRPr="007542B3">
        <w:rPr>
          <w:sz w:val="22"/>
        </w:rPr>
        <w:t xml:space="preserve"> promptly to all applications received to succeed and make application forms, advice and assistance available</w:t>
      </w:r>
      <w:r w:rsidR="00BB647D" w:rsidRPr="007542B3">
        <w:rPr>
          <w:sz w:val="22"/>
        </w:rPr>
        <w:t>.</w:t>
      </w:r>
      <w:r w:rsidR="00E6465E" w:rsidRPr="007542B3">
        <w:rPr>
          <w:sz w:val="22"/>
        </w:rPr>
        <w:t xml:space="preserve">  </w:t>
      </w:r>
    </w:p>
    <w:p w14:paraId="0581E65F" w14:textId="594C1FB3" w:rsidR="001B3EE0" w:rsidRPr="007542B3" w:rsidRDefault="001B3EE0" w:rsidP="001B02CF">
      <w:pPr>
        <w:pStyle w:val="Level1"/>
        <w:keepNext/>
        <w:numPr>
          <w:ilvl w:val="0"/>
          <w:numId w:val="2"/>
        </w:numPr>
        <w:ind w:left="426" w:hanging="710"/>
        <w:rPr>
          <w:rStyle w:val="Level1asheadingtext"/>
          <w:b w:val="0"/>
          <w:sz w:val="22"/>
        </w:rPr>
      </w:pPr>
      <w:r w:rsidRPr="007542B3">
        <w:rPr>
          <w:rStyle w:val="Level1asheadingtext"/>
          <w:sz w:val="22"/>
        </w:rPr>
        <w:lastRenderedPageBreak/>
        <w:t xml:space="preserve">Policy Statement  </w:t>
      </w:r>
    </w:p>
    <w:p w14:paraId="42EB7CAD" w14:textId="5A780445" w:rsidR="002C1981" w:rsidRPr="007542B3" w:rsidRDefault="002C1981" w:rsidP="002C1981">
      <w:pPr>
        <w:pStyle w:val="Level1"/>
        <w:numPr>
          <w:ilvl w:val="0"/>
          <w:numId w:val="0"/>
        </w:numPr>
        <w:ind w:left="426" w:hanging="426"/>
        <w:rPr>
          <w:sz w:val="22"/>
        </w:rPr>
      </w:pPr>
      <w:r w:rsidRPr="007542B3">
        <w:rPr>
          <w:sz w:val="22"/>
        </w:rPr>
        <w:t>2.1</w:t>
      </w:r>
      <w:r w:rsidRPr="007542B3">
        <w:rPr>
          <w:sz w:val="22"/>
        </w:rPr>
        <w:tab/>
        <w:t>When a tenant dies a succession to the tenancy may be possible if a relative or partner was living with him/her at the time of death. This depends on the type of tenancy held. By partner we mean a husband, wife</w:t>
      </w:r>
      <w:r w:rsidR="00F9552A" w:rsidRPr="007542B3">
        <w:rPr>
          <w:sz w:val="22"/>
        </w:rPr>
        <w:t>, civil partner</w:t>
      </w:r>
      <w:r w:rsidRPr="007542B3">
        <w:rPr>
          <w:sz w:val="22"/>
        </w:rPr>
        <w:t xml:space="preserve"> or someone who lives with the tenant, as their partner a</w:t>
      </w:r>
      <w:r w:rsidR="5C2FFF64" w:rsidRPr="007542B3">
        <w:rPr>
          <w:sz w:val="22"/>
        </w:rPr>
        <w:t>t</w:t>
      </w:r>
      <w:r w:rsidRPr="007542B3">
        <w:rPr>
          <w:sz w:val="22"/>
        </w:rPr>
        <w:t xml:space="preserve"> the time of their death. </w:t>
      </w:r>
    </w:p>
    <w:p w14:paraId="5F1ACAF8" w14:textId="62EC5D3A" w:rsidR="002C1981" w:rsidRPr="007542B3" w:rsidRDefault="002C1981" w:rsidP="002C1981">
      <w:pPr>
        <w:pStyle w:val="Level1"/>
        <w:numPr>
          <w:ilvl w:val="0"/>
          <w:numId w:val="0"/>
        </w:numPr>
        <w:ind w:left="426" w:hanging="426"/>
        <w:rPr>
          <w:sz w:val="22"/>
        </w:rPr>
      </w:pPr>
      <w:r w:rsidRPr="007542B3">
        <w:rPr>
          <w:sz w:val="22"/>
        </w:rPr>
        <w:t>2.2</w:t>
      </w:r>
      <w:r w:rsidRPr="007542B3">
        <w:rPr>
          <w:sz w:val="22"/>
        </w:rPr>
        <w:tab/>
      </w:r>
      <w:r w:rsidR="00D14F96" w:rsidRPr="007542B3">
        <w:rPr>
          <w:sz w:val="22"/>
        </w:rPr>
        <w:t>Our tenants will have different succession rights depending on the type of tenancy agreement they hold</w:t>
      </w:r>
      <w:r w:rsidR="00225E42" w:rsidRPr="007542B3">
        <w:rPr>
          <w:sz w:val="22"/>
        </w:rPr>
        <w:t>.</w:t>
      </w:r>
      <w:r w:rsidR="00D14F96" w:rsidRPr="007542B3">
        <w:rPr>
          <w:sz w:val="22"/>
        </w:rPr>
        <w:t xml:space="preserve"> </w:t>
      </w:r>
      <w:r w:rsidRPr="007542B3">
        <w:rPr>
          <w:sz w:val="22"/>
        </w:rPr>
        <w:t xml:space="preserve">Some previous Sevenoaks District Council (SDC) Assured (Protected) Tenants have additional rights to succession for family members living in the property 12 months before death, under the tenancy following transfer to West Kent. The statutory right of succession for Assured Tenants is granted under the Housing Act 1988. </w:t>
      </w:r>
    </w:p>
    <w:p w14:paraId="6FC1B179" w14:textId="77777777" w:rsidR="0068471F" w:rsidRPr="007542B3" w:rsidRDefault="002C1981" w:rsidP="002C1981">
      <w:pPr>
        <w:pStyle w:val="Level1"/>
        <w:numPr>
          <w:ilvl w:val="0"/>
          <w:numId w:val="0"/>
        </w:numPr>
        <w:ind w:left="426" w:hanging="426"/>
        <w:rPr>
          <w:sz w:val="22"/>
        </w:rPr>
      </w:pPr>
      <w:r w:rsidRPr="007542B3">
        <w:rPr>
          <w:sz w:val="22"/>
        </w:rPr>
        <w:t>2.3</w:t>
      </w:r>
      <w:r w:rsidRPr="007542B3">
        <w:rPr>
          <w:sz w:val="22"/>
        </w:rPr>
        <w:tab/>
        <w:t>This policy applies to customers living in rented homes owned by us.</w:t>
      </w:r>
      <w:r w:rsidR="00C92726" w:rsidRPr="007542B3">
        <w:rPr>
          <w:sz w:val="22"/>
        </w:rPr>
        <w:t xml:space="preserve">  </w:t>
      </w:r>
    </w:p>
    <w:p w14:paraId="28F1F586" w14:textId="77777777" w:rsidR="00C7092D" w:rsidRPr="007542B3" w:rsidRDefault="0068471F" w:rsidP="002C1981">
      <w:pPr>
        <w:pStyle w:val="Level1"/>
        <w:numPr>
          <w:ilvl w:val="0"/>
          <w:numId w:val="0"/>
        </w:numPr>
        <w:ind w:left="426" w:hanging="426"/>
        <w:rPr>
          <w:sz w:val="22"/>
        </w:rPr>
      </w:pPr>
      <w:r w:rsidRPr="007542B3">
        <w:rPr>
          <w:sz w:val="22"/>
        </w:rPr>
        <w:t>2.4</w:t>
      </w:r>
      <w:r w:rsidRPr="007542B3">
        <w:rPr>
          <w:sz w:val="22"/>
        </w:rPr>
        <w:tab/>
      </w:r>
      <w:r w:rsidR="00C92726" w:rsidRPr="007542B3">
        <w:rPr>
          <w:sz w:val="22"/>
        </w:rPr>
        <w:t>It does not apply to leaseholders</w:t>
      </w:r>
      <w:r w:rsidR="00534989" w:rsidRPr="007542B3">
        <w:rPr>
          <w:sz w:val="22"/>
        </w:rPr>
        <w:t xml:space="preserve">.  </w:t>
      </w:r>
    </w:p>
    <w:p w14:paraId="21E968EF" w14:textId="6A09DA2C" w:rsidR="002C1981" w:rsidRPr="007542B3" w:rsidRDefault="00F53CC5" w:rsidP="002C1981">
      <w:pPr>
        <w:pStyle w:val="Level1"/>
        <w:numPr>
          <w:ilvl w:val="0"/>
          <w:numId w:val="0"/>
        </w:numPr>
        <w:ind w:left="426" w:hanging="426"/>
        <w:rPr>
          <w:sz w:val="22"/>
        </w:rPr>
      </w:pPr>
      <w:r w:rsidRPr="007542B3">
        <w:rPr>
          <w:sz w:val="22"/>
        </w:rPr>
        <w:t>2.5</w:t>
      </w:r>
      <w:r w:rsidRPr="007542B3">
        <w:rPr>
          <w:sz w:val="22"/>
        </w:rPr>
        <w:tab/>
      </w:r>
      <w:r w:rsidR="00534989" w:rsidRPr="007542B3">
        <w:rPr>
          <w:sz w:val="22"/>
        </w:rPr>
        <w:t xml:space="preserve">It does not apply to </w:t>
      </w:r>
      <w:r w:rsidR="0068471F" w:rsidRPr="007542B3">
        <w:rPr>
          <w:sz w:val="22"/>
        </w:rPr>
        <w:t>licensees</w:t>
      </w:r>
      <w:r w:rsidR="00534989" w:rsidRPr="007542B3">
        <w:rPr>
          <w:sz w:val="22"/>
        </w:rPr>
        <w:t xml:space="preserve"> as </w:t>
      </w:r>
      <w:r w:rsidR="0068471F" w:rsidRPr="007542B3">
        <w:rPr>
          <w:sz w:val="22"/>
        </w:rPr>
        <w:t>they have no</w:t>
      </w:r>
      <w:r w:rsidR="00534989" w:rsidRPr="007542B3">
        <w:rPr>
          <w:sz w:val="22"/>
        </w:rPr>
        <w:t xml:space="preserve"> right to </w:t>
      </w:r>
      <w:r w:rsidR="0068471F" w:rsidRPr="007542B3">
        <w:rPr>
          <w:sz w:val="22"/>
        </w:rPr>
        <w:t>succession</w:t>
      </w:r>
      <w:r w:rsidR="008720F3" w:rsidRPr="002408A8">
        <w:rPr>
          <w:sz w:val="22"/>
        </w:rPr>
        <w:t>.</w:t>
      </w:r>
    </w:p>
    <w:p w14:paraId="64EF9971" w14:textId="2D1D25DD" w:rsidR="00955A8E" w:rsidRPr="007542B3" w:rsidRDefault="002276EE" w:rsidP="001B02CF">
      <w:pPr>
        <w:pStyle w:val="Level1"/>
        <w:keepNext/>
        <w:numPr>
          <w:ilvl w:val="0"/>
          <w:numId w:val="2"/>
        </w:numPr>
        <w:ind w:left="426" w:hanging="710"/>
        <w:rPr>
          <w:rStyle w:val="Level1asheadingtext"/>
          <w:b w:val="0"/>
          <w:sz w:val="22"/>
        </w:rPr>
      </w:pPr>
      <w:r w:rsidRPr="007542B3">
        <w:rPr>
          <w:rStyle w:val="Level1asheadingtext"/>
          <w:sz w:val="22"/>
        </w:rPr>
        <w:t>Definitions</w:t>
      </w:r>
    </w:p>
    <w:p w14:paraId="6C384DE1" w14:textId="6FD35736" w:rsidR="00722999" w:rsidRPr="007542B3" w:rsidRDefault="00722999" w:rsidP="00483609">
      <w:pPr>
        <w:pStyle w:val="Level1"/>
        <w:numPr>
          <w:ilvl w:val="0"/>
          <w:numId w:val="0"/>
        </w:numPr>
        <w:ind w:left="426"/>
        <w:rPr>
          <w:sz w:val="22"/>
        </w:rPr>
      </w:pPr>
      <w:r w:rsidRPr="007542B3">
        <w:rPr>
          <w:b/>
          <w:bCs/>
          <w:sz w:val="22"/>
        </w:rPr>
        <w:t>Assured Protected Tenants</w:t>
      </w:r>
      <w:r w:rsidRPr="007542B3">
        <w:rPr>
          <w:sz w:val="22"/>
        </w:rPr>
        <w:t xml:space="preserve"> - those who were former tenants of Sevenoaks District Council and have held a continuous tenancy with West Kent since the transfer on 23rd March 1989 (unless they have assigned tenancy by mutual exchange with someone with full assured tenancy). </w:t>
      </w:r>
    </w:p>
    <w:p w14:paraId="63A65EA6" w14:textId="19C5A449" w:rsidR="00722999" w:rsidRPr="007542B3" w:rsidRDefault="00722999" w:rsidP="684E0FC2">
      <w:pPr>
        <w:pStyle w:val="Level1"/>
        <w:numPr>
          <w:ilvl w:val="0"/>
          <w:numId w:val="0"/>
        </w:numPr>
        <w:ind w:left="426"/>
        <w:rPr>
          <w:sz w:val="22"/>
        </w:rPr>
      </w:pPr>
      <w:r w:rsidRPr="007542B3">
        <w:rPr>
          <w:b/>
          <w:bCs/>
          <w:sz w:val="22"/>
        </w:rPr>
        <w:t>Non-successor</w:t>
      </w:r>
      <w:r w:rsidRPr="007542B3">
        <w:rPr>
          <w:sz w:val="22"/>
        </w:rPr>
        <w:t xml:space="preserve"> – someone remaining in the property, who does not qualify to succeed to the tenancy. </w:t>
      </w:r>
    </w:p>
    <w:p w14:paraId="2656E4D6" w14:textId="7D92A172" w:rsidR="00483609" w:rsidRPr="007542B3" w:rsidRDefault="00483609" w:rsidP="684E0FC2">
      <w:pPr>
        <w:pStyle w:val="Level1"/>
        <w:numPr>
          <w:ilvl w:val="0"/>
          <w:numId w:val="0"/>
        </w:numPr>
        <w:ind w:left="426"/>
        <w:rPr>
          <w:b/>
          <w:bCs/>
          <w:sz w:val="22"/>
        </w:rPr>
      </w:pPr>
      <w:r w:rsidRPr="007542B3">
        <w:rPr>
          <w:b/>
          <w:bCs/>
          <w:sz w:val="22"/>
        </w:rPr>
        <w:t>Statutory Rights</w:t>
      </w:r>
      <w:r w:rsidR="00C36D13" w:rsidRPr="007542B3">
        <w:rPr>
          <w:b/>
          <w:bCs/>
          <w:sz w:val="22"/>
        </w:rPr>
        <w:t xml:space="preserve">- </w:t>
      </w:r>
      <w:r w:rsidR="00C36D13" w:rsidRPr="007542B3">
        <w:rPr>
          <w:sz w:val="22"/>
        </w:rPr>
        <w:t xml:space="preserve">Legal rights established under the </w:t>
      </w:r>
      <w:r w:rsidR="008D4103" w:rsidRPr="007542B3">
        <w:rPr>
          <w:sz w:val="22"/>
        </w:rPr>
        <w:t xml:space="preserve">Housing </w:t>
      </w:r>
      <w:r w:rsidR="00C36D13" w:rsidRPr="007542B3">
        <w:rPr>
          <w:sz w:val="22"/>
        </w:rPr>
        <w:t>Acts</w:t>
      </w:r>
      <w:r w:rsidR="008D4103" w:rsidRPr="007542B3">
        <w:rPr>
          <w:sz w:val="22"/>
        </w:rPr>
        <w:t>.</w:t>
      </w:r>
      <w:r w:rsidR="00C36D13" w:rsidRPr="007542B3">
        <w:rPr>
          <w:sz w:val="22"/>
        </w:rPr>
        <w:t xml:space="preserve"> </w:t>
      </w:r>
    </w:p>
    <w:p w14:paraId="6B5A446E" w14:textId="55AFC797" w:rsidR="00483609" w:rsidRPr="007542B3" w:rsidRDefault="00483609" w:rsidP="684E0FC2">
      <w:pPr>
        <w:pStyle w:val="Level1"/>
        <w:numPr>
          <w:ilvl w:val="0"/>
          <w:numId w:val="0"/>
        </w:numPr>
        <w:ind w:left="426"/>
        <w:rPr>
          <w:b/>
          <w:bCs/>
          <w:sz w:val="22"/>
        </w:rPr>
      </w:pPr>
      <w:r w:rsidRPr="007542B3">
        <w:rPr>
          <w:b/>
          <w:bCs/>
          <w:sz w:val="22"/>
        </w:rPr>
        <w:t>Contractual Rights</w:t>
      </w:r>
      <w:r w:rsidR="00C36D13" w:rsidRPr="007542B3">
        <w:rPr>
          <w:b/>
          <w:bCs/>
          <w:sz w:val="22"/>
        </w:rPr>
        <w:t>-</w:t>
      </w:r>
      <w:r w:rsidR="000C446B" w:rsidRPr="007542B3">
        <w:rPr>
          <w:sz w:val="22"/>
        </w:rPr>
        <w:t xml:space="preserve"> Rights given to some people through the tenancy agreement, rather than by statute.</w:t>
      </w:r>
    </w:p>
    <w:p w14:paraId="6EE2319F" w14:textId="00352165" w:rsidR="006E2B58" w:rsidRPr="007542B3" w:rsidRDefault="00597658" w:rsidP="684E0FC2">
      <w:pPr>
        <w:pStyle w:val="Level1"/>
        <w:numPr>
          <w:ilvl w:val="0"/>
          <w:numId w:val="0"/>
        </w:numPr>
        <w:ind w:left="426"/>
        <w:rPr>
          <w:sz w:val="22"/>
        </w:rPr>
      </w:pPr>
      <w:r w:rsidRPr="007542B3">
        <w:rPr>
          <w:b/>
          <w:bCs/>
          <w:sz w:val="22"/>
        </w:rPr>
        <w:t>Discretionary Rights</w:t>
      </w:r>
      <w:r w:rsidR="006E2B58" w:rsidRPr="007542B3">
        <w:rPr>
          <w:b/>
          <w:bCs/>
          <w:sz w:val="22"/>
        </w:rPr>
        <w:t xml:space="preserve">- </w:t>
      </w:r>
      <w:r w:rsidR="006E2B58" w:rsidRPr="007542B3">
        <w:rPr>
          <w:sz w:val="22"/>
        </w:rPr>
        <w:t>When we may use our discretion to offer a new tenancy where there are no succession rights</w:t>
      </w:r>
      <w:r w:rsidR="008720F3" w:rsidRPr="002408A8">
        <w:rPr>
          <w:sz w:val="22"/>
        </w:rPr>
        <w:t>.</w:t>
      </w:r>
    </w:p>
    <w:p w14:paraId="1E1B2A04" w14:textId="662217E3" w:rsidR="000D453A" w:rsidRPr="007542B3" w:rsidRDefault="000D453A" w:rsidP="684E0FC2">
      <w:pPr>
        <w:pStyle w:val="Level1"/>
        <w:numPr>
          <w:ilvl w:val="0"/>
          <w:numId w:val="0"/>
        </w:numPr>
        <w:ind w:left="426"/>
        <w:rPr>
          <w:sz w:val="22"/>
        </w:rPr>
      </w:pPr>
      <w:r w:rsidRPr="007542B3">
        <w:rPr>
          <w:b/>
          <w:bCs/>
          <w:sz w:val="22"/>
        </w:rPr>
        <w:t>Assignment-</w:t>
      </w:r>
      <w:r w:rsidRPr="007542B3">
        <w:rPr>
          <w:sz w:val="22"/>
        </w:rPr>
        <w:t xml:space="preserve"> An assignment is a transfer of the tenancy during the lifetime of the tenant</w:t>
      </w:r>
      <w:r w:rsidR="008720F3" w:rsidRPr="002408A8">
        <w:rPr>
          <w:sz w:val="22"/>
        </w:rPr>
        <w:t>.</w:t>
      </w:r>
    </w:p>
    <w:p w14:paraId="555CC6B4" w14:textId="76969067" w:rsidR="00483609" w:rsidRPr="007542B3" w:rsidRDefault="00597658" w:rsidP="00722999">
      <w:pPr>
        <w:pStyle w:val="Level1"/>
        <w:numPr>
          <w:ilvl w:val="0"/>
          <w:numId w:val="0"/>
        </w:numPr>
        <w:ind w:left="426" w:hanging="426"/>
        <w:rPr>
          <w:sz w:val="22"/>
        </w:rPr>
      </w:pPr>
      <w:r w:rsidRPr="007542B3">
        <w:rPr>
          <w:b/>
          <w:bCs/>
          <w:sz w:val="22"/>
        </w:rPr>
        <w:tab/>
      </w:r>
    </w:p>
    <w:p w14:paraId="2FBFCC2D" w14:textId="4181ACFC" w:rsidR="000F1CFA" w:rsidRPr="007542B3" w:rsidRDefault="006E2E7C" w:rsidP="001B02CF">
      <w:pPr>
        <w:pStyle w:val="Level1"/>
        <w:keepNext/>
        <w:numPr>
          <w:ilvl w:val="0"/>
          <w:numId w:val="2"/>
        </w:numPr>
        <w:ind w:left="426" w:hanging="710"/>
        <w:rPr>
          <w:rStyle w:val="Level1asheadingtext"/>
          <w:b w:val="0"/>
          <w:sz w:val="22"/>
        </w:rPr>
      </w:pPr>
      <w:r w:rsidRPr="007542B3">
        <w:rPr>
          <w:rStyle w:val="Level1asheadingtext"/>
          <w:sz w:val="22"/>
        </w:rPr>
        <w:t>Types of Succession</w:t>
      </w:r>
    </w:p>
    <w:p w14:paraId="68DB96E6" w14:textId="34C632D1" w:rsidR="00B01FE5" w:rsidRPr="002408A8" w:rsidRDefault="00C40CEB" w:rsidP="00C40CEB">
      <w:pPr>
        <w:pStyle w:val="Level1"/>
        <w:numPr>
          <w:ilvl w:val="0"/>
          <w:numId w:val="0"/>
        </w:numPr>
        <w:ind w:left="426" w:hanging="426"/>
        <w:rPr>
          <w:rStyle w:val="Level1asheadingtext"/>
          <w:sz w:val="22"/>
        </w:rPr>
      </w:pPr>
      <w:r w:rsidRPr="002408A8">
        <w:rPr>
          <w:b/>
          <w:sz w:val="22"/>
        </w:rPr>
        <w:t>4.1</w:t>
      </w:r>
      <w:r w:rsidRPr="002408A8">
        <w:rPr>
          <w:b/>
          <w:sz w:val="22"/>
        </w:rPr>
        <w:tab/>
      </w:r>
      <w:r w:rsidR="00B01FE5" w:rsidRPr="002408A8">
        <w:rPr>
          <w:b/>
          <w:sz w:val="22"/>
        </w:rPr>
        <w:t xml:space="preserve">Joint </w:t>
      </w:r>
      <w:r w:rsidR="008720F3" w:rsidRPr="002408A8">
        <w:rPr>
          <w:b/>
          <w:sz w:val="22"/>
        </w:rPr>
        <w:t>t</w:t>
      </w:r>
      <w:r w:rsidR="00B01FE5" w:rsidRPr="002408A8">
        <w:rPr>
          <w:b/>
          <w:sz w:val="22"/>
        </w:rPr>
        <w:t>enants and survivorship</w:t>
      </w:r>
    </w:p>
    <w:p w14:paraId="089684FB" w14:textId="0A38E196" w:rsidR="00B01FE5" w:rsidRPr="007542B3" w:rsidRDefault="00FB21BC" w:rsidP="00FB4B53">
      <w:pPr>
        <w:pStyle w:val="Level2"/>
        <w:numPr>
          <w:ilvl w:val="0"/>
          <w:numId w:val="0"/>
        </w:numPr>
        <w:ind w:left="465"/>
        <w:rPr>
          <w:sz w:val="22"/>
        </w:rPr>
      </w:pPr>
      <w:r w:rsidRPr="007542B3">
        <w:rPr>
          <w:sz w:val="22"/>
        </w:rPr>
        <w:t>If the tenancy agreement is in joint names and one of the joint tenants dies, the tenancy will continue with the surviving joint tenant as a sole tenant. This is called the “right of survivorship” and happens automatically on the date of death.</w:t>
      </w:r>
      <w:r w:rsidR="00735A4E" w:rsidRPr="007542B3">
        <w:rPr>
          <w:sz w:val="22"/>
        </w:rPr>
        <w:t xml:space="preserve"> Survivorship does not require authorisation from us</w:t>
      </w:r>
      <w:r w:rsidR="00B2130A" w:rsidRPr="007542B3">
        <w:rPr>
          <w:sz w:val="22"/>
        </w:rPr>
        <w:t>.</w:t>
      </w:r>
      <w:r w:rsidR="00D66CC5" w:rsidRPr="007542B3">
        <w:rPr>
          <w:sz w:val="22"/>
        </w:rPr>
        <w:t xml:space="preserve">  The remaining tenant becomes a sole tenant</w:t>
      </w:r>
      <w:r w:rsidR="00DD677E" w:rsidRPr="007542B3">
        <w:rPr>
          <w:sz w:val="22"/>
        </w:rPr>
        <w:t xml:space="preserve">.  Our </w:t>
      </w:r>
      <w:r w:rsidR="00C66C0D" w:rsidRPr="007542B3">
        <w:rPr>
          <w:sz w:val="22"/>
        </w:rPr>
        <w:t>records</w:t>
      </w:r>
      <w:r w:rsidR="00DD677E" w:rsidRPr="007542B3">
        <w:rPr>
          <w:sz w:val="22"/>
        </w:rPr>
        <w:t xml:space="preserve"> should be updated to reflect this.</w:t>
      </w:r>
    </w:p>
    <w:p w14:paraId="56871D3A" w14:textId="54DE8F6F" w:rsidR="00060895" w:rsidRPr="007542B3" w:rsidRDefault="00060895" w:rsidP="00C552D8">
      <w:pPr>
        <w:pStyle w:val="ShgBodySubnumberingLv1"/>
        <w:numPr>
          <w:ilvl w:val="0"/>
          <w:numId w:val="0"/>
        </w:numPr>
        <w:ind w:left="380"/>
        <w:jc w:val="both"/>
        <w:rPr>
          <w:rFonts w:ascii="Arial" w:hAnsi="Arial" w:cs="Arial"/>
          <w:sz w:val="22"/>
        </w:rPr>
      </w:pPr>
      <w:r w:rsidRPr="007542B3">
        <w:rPr>
          <w:rFonts w:ascii="Arial" w:hAnsi="Arial" w:cs="Arial"/>
          <w:sz w:val="22"/>
        </w:rPr>
        <w:lastRenderedPageBreak/>
        <w:t>Survivorship counts as a succession and there is no further right of succession after survivorship(s), unless the tenancy agreement gives a secondary succession right</w:t>
      </w:r>
      <w:r w:rsidR="00293ECC" w:rsidRPr="007542B3">
        <w:rPr>
          <w:rFonts w:ascii="Arial" w:hAnsi="Arial" w:cs="Arial"/>
          <w:sz w:val="22"/>
        </w:rPr>
        <w:t>.</w:t>
      </w:r>
    </w:p>
    <w:p w14:paraId="60FD564F" w14:textId="0134D381" w:rsidR="00DB4792" w:rsidRPr="007542B3" w:rsidRDefault="00DB4792" w:rsidP="00C552D8">
      <w:pPr>
        <w:pStyle w:val="ShgBodySubnumberingLv1"/>
        <w:numPr>
          <w:ilvl w:val="0"/>
          <w:numId w:val="0"/>
        </w:numPr>
        <w:ind w:left="380"/>
        <w:jc w:val="both"/>
        <w:rPr>
          <w:rFonts w:ascii="Arial" w:hAnsi="Arial" w:cs="Arial"/>
          <w:sz w:val="22"/>
        </w:rPr>
      </w:pPr>
      <w:r w:rsidRPr="007542B3">
        <w:rPr>
          <w:rFonts w:ascii="Arial" w:hAnsi="Arial" w:cs="Arial"/>
          <w:sz w:val="22"/>
        </w:rPr>
        <w:t xml:space="preserve">If the remaining tenant does not live in the property as their only or </w:t>
      </w:r>
      <w:r w:rsidR="006035D1" w:rsidRPr="007542B3">
        <w:rPr>
          <w:rFonts w:ascii="Arial" w:hAnsi="Arial" w:cs="Arial"/>
          <w:sz w:val="22"/>
        </w:rPr>
        <w:t>main</w:t>
      </w:r>
      <w:r w:rsidRPr="007542B3">
        <w:rPr>
          <w:rFonts w:ascii="Arial" w:hAnsi="Arial" w:cs="Arial"/>
          <w:sz w:val="22"/>
        </w:rPr>
        <w:t xml:space="preserve"> home, we may take action to end the tenancy.</w:t>
      </w:r>
    </w:p>
    <w:p w14:paraId="38815234" w14:textId="77777777" w:rsidR="00955A8E" w:rsidRPr="002408A8" w:rsidRDefault="00955A8E" w:rsidP="00955A8E">
      <w:pPr>
        <w:pStyle w:val="Level1"/>
        <w:keepNext/>
        <w:numPr>
          <w:ilvl w:val="0"/>
          <w:numId w:val="0"/>
        </w:numPr>
        <w:spacing w:after="0"/>
        <w:ind w:left="425"/>
        <w:rPr>
          <w:rStyle w:val="Level1asheadingtext"/>
          <w:b w:val="0"/>
          <w:sz w:val="22"/>
        </w:rPr>
      </w:pPr>
    </w:p>
    <w:p w14:paraId="737F66C8" w14:textId="4D358617" w:rsidR="00CE5096" w:rsidRPr="002408A8" w:rsidRDefault="00CE5096" w:rsidP="00C6708C">
      <w:pPr>
        <w:pStyle w:val="Level1"/>
        <w:keepNext/>
        <w:numPr>
          <w:ilvl w:val="0"/>
          <w:numId w:val="0"/>
        </w:numPr>
        <w:ind w:left="992" w:hanging="992"/>
        <w:rPr>
          <w:rStyle w:val="Level1asheadingtext"/>
          <w:sz w:val="22"/>
        </w:rPr>
      </w:pPr>
      <w:r w:rsidRPr="002408A8">
        <w:rPr>
          <w:rStyle w:val="Level1asheadingtext"/>
          <w:sz w:val="22"/>
        </w:rPr>
        <w:t>4.</w:t>
      </w:r>
      <w:r w:rsidR="00B734B7" w:rsidRPr="002408A8">
        <w:rPr>
          <w:rStyle w:val="Level1asheadingtext"/>
          <w:sz w:val="22"/>
        </w:rPr>
        <w:t>2</w:t>
      </w:r>
      <w:r w:rsidRPr="002408A8">
        <w:rPr>
          <w:rStyle w:val="Level1asheadingtext"/>
          <w:sz w:val="22"/>
        </w:rPr>
        <w:t xml:space="preserve"> Succession Rights of Assured (Protected) Tenants  </w:t>
      </w:r>
    </w:p>
    <w:p w14:paraId="523F2CF7" w14:textId="3B833E35" w:rsidR="00CE5096" w:rsidRPr="007542B3" w:rsidRDefault="003C2687" w:rsidP="003C2687">
      <w:pPr>
        <w:pStyle w:val="ShgBodySubnumberingLv1"/>
        <w:numPr>
          <w:ilvl w:val="0"/>
          <w:numId w:val="0"/>
        </w:numPr>
        <w:ind w:left="992" w:hanging="612"/>
        <w:jc w:val="both"/>
        <w:rPr>
          <w:rFonts w:ascii="Arial" w:hAnsi="Arial" w:cs="Arial"/>
          <w:sz w:val="22"/>
        </w:rPr>
      </w:pPr>
      <w:r w:rsidRPr="007542B3">
        <w:rPr>
          <w:rFonts w:ascii="Arial" w:hAnsi="Arial" w:cs="Arial"/>
          <w:sz w:val="22"/>
        </w:rPr>
        <w:t>4.2.1</w:t>
      </w:r>
      <w:r w:rsidRPr="007542B3">
        <w:rPr>
          <w:rFonts w:ascii="Arial" w:hAnsi="Arial" w:cs="Arial"/>
          <w:sz w:val="22"/>
        </w:rPr>
        <w:tab/>
      </w:r>
      <w:r w:rsidR="00CE5096" w:rsidRPr="007542B3">
        <w:rPr>
          <w:rFonts w:ascii="Arial" w:hAnsi="Arial" w:cs="Arial"/>
          <w:sz w:val="22"/>
        </w:rPr>
        <w:t xml:space="preserve">If </w:t>
      </w:r>
      <w:r w:rsidR="00753D6D" w:rsidRPr="007542B3">
        <w:rPr>
          <w:rFonts w:ascii="Arial" w:hAnsi="Arial" w:cs="Arial"/>
          <w:sz w:val="22"/>
        </w:rPr>
        <w:t xml:space="preserve">the deceased tenant has a </w:t>
      </w:r>
      <w:r w:rsidR="00CE5096" w:rsidRPr="007542B3">
        <w:rPr>
          <w:rFonts w:ascii="Arial" w:hAnsi="Arial" w:cs="Arial"/>
          <w:sz w:val="22"/>
        </w:rPr>
        <w:t xml:space="preserve">sole tenancy, when </w:t>
      </w:r>
      <w:r w:rsidR="00463CAD" w:rsidRPr="007542B3">
        <w:rPr>
          <w:rFonts w:ascii="Arial" w:hAnsi="Arial" w:cs="Arial"/>
          <w:sz w:val="22"/>
        </w:rPr>
        <w:t>they</w:t>
      </w:r>
      <w:r w:rsidR="00CE5096" w:rsidRPr="007542B3">
        <w:rPr>
          <w:rFonts w:ascii="Arial" w:hAnsi="Arial" w:cs="Arial"/>
          <w:sz w:val="22"/>
        </w:rPr>
        <w:t xml:space="preserve"> die</w:t>
      </w:r>
      <w:r w:rsidR="00463CAD" w:rsidRPr="007542B3">
        <w:rPr>
          <w:rFonts w:ascii="Arial" w:hAnsi="Arial" w:cs="Arial"/>
          <w:sz w:val="22"/>
        </w:rPr>
        <w:t xml:space="preserve"> </w:t>
      </w:r>
      <w:r w:rsidR="00CE5096" w:rsidRPr="007542B3">
        <w:rPr>
          <w:rFonts w:ascii="Arial" w:hAnsi="Arial" w:cs="Arial"/>
          <w:sz w:val="22"/>
        </w:rPr>
        <w:t>the</w:t>
      </w:r>
      <w:r w:rsidR="00463CAD" w:rsidRPr="007542B3">
        <w:rPr>
          <w:rFonts w:ascii="Arial" w:hAnsi="Arial" w:cs="Arial"/>
          <w:sz w:val="22"/>
        </w:rPr>
        <w:t>n</w:t>
      </w:r>
      <w:r w:rsidR="00CE5096" w:rsidRPr="007542B3">
        <w:rPr>
          <w:rFonts w:ascii="Arial" w:hAnsi="Arial" w:cs="Arial"/>
          <w:sz w:val="22"/>
        </w:rPr>
        <w:t xml:space="preserve"> </w:t>
      </w:r>
      <w:r w:rsidR="00E01C98" w:rsidRPr="007542B3">
        <w:rPr>
          <w:rFonts w:ascii="Arial" w:hAnsi="Arial" w:cs="Arial"/>
          <w:sz w:val="22"/>
        </w:rPr>
        <w:t xml:space="preserve">his or her spouse/civil partner (or person who has been living together with a tenant as their spouse/civil partner) succeeds to the </w:t>
      </w:r>
      <w:r w:rsidR="00D269A8" w:rsidRPr="007542B3">
        <w:rPr>
          <w:rFonts w:ascii="Arial" w:hAnsi="Arial" w:cs="Arial"/>
          <w:sz w:val="22"/>
        </w:rPr>
        <w:t>tenancy automatically</w:t>
      </w:r>
      <w:r w:rsidR="00127E71" w:rsidRPr="007542B3">
        <w:rPr>
          <w:rFonts w:ascii="Arial" w:hAnsi="Arial" w:cs="Arial"/>
          <w:sz w:val="22"/>
        </w:rPr>
        <w:t xml:space="preserve"> where the partner has been occupying the property as their only or principal home at the time of the tenant</w:t>
      </w:r>
      <w:r w:rsidR="008720F3" w:rsidRPr="002408A8">
        <w:rPr>
          <w:rFonts w:ascii="Arial" w:hAnsi="Arial" w:cs="Arial"/>
          <w:sz w:val="22"/>
        </w:rPr>
        <w:t>’</w:t>
      </w:r>
      <w:r w:rsidR="00127E71" w:rsidRPr="007542B3">
        <w:rPr>
          <w:rFonts w:ascii="Arial" w:hAnsi="Arial" w:cs="Arial"/>
          <w:sz w:val="22"/>
        </w:rPr>
        <w:t>s death</w:t>
      </w:r>
      <w:r w:rsidR="00B00F8F" w:rsidRPr="007542B3">
        <w:rPr>
          <w:rFonts w:ascii="Arial" w:hAnsi="Arial" w:cs="Arial"/>
          <w:sz w:val="22"/>
        </w:rPr>
        <w:t>.</w:t>
      </w:r>
      <w:r w:rsidR="00CE5096" w:rsidRPr="007542B3">
        <w:rPr>
          <w:rFonts w:ascii="Arial" w:hAnsi="Arial" w:cs="Arial"/>
          <w:sz w:val="22"/>
        </w:rPr>
        <w:t xml:space="preserve"> </w:t>
      </w:r>
      <w:r w:rsidR="0002688F" w:rsidRPr="007542B3">
        <w:rPr>
          <w:rFonts w:ascii="Arial" w:hAnsi="Arial" w:cs="Arial"/>
          <w:sz w:val="22"/>
        </w:rPr>
        <w:t xml:space="preserve">This is a statutory </w:t>
      </w:r>
      <w:r w:rsidR="00D269A8" w:rsidRPr="007542B3">
        <w:rPr>
          <w:rFonts w:ascii="Arial" w:hAnsi="Arial" w:cs="Arial"/>
          <w:sz w:val="22"/>
        </w:rPr>
        <w:t>s</w:t>
      </w:r>
      <w:r w:rsidR="0002688F" w:rsidRPr="007542B3">
        <w:rPr>
          <w:rFonts w:ascii="Arial" w:hAnsi="Arial" w:cs="Arial"/>
          <w:sz w:val="22"/>
        </w:rPr>
        <w:t>uccession</w:t>
      </w:r>
      <w:r w:rsidR="002A7954" w:rsidRPr="007542B3">
        <w:rPr>
          <w:rFonts w:ascii="Arial" w:hAnsi="Arial" w:cs="Arial"/>
          <w:sz w:val="22"/>
        </w:rPr>
        <w:t xml:space="preserve">. </w:t>
      </w:r>
    </w:p>
    <w:p w14:paraId="27DFE551" w14:textId="53CB7FD3" w:rsidR="00127E71" w:rsidRPr="007542B3" w:rsidRDefault="00127E71" w:rsidP="003C2687">
      <w:pPr>
        <w:pStyle w:val="ShgBodySubnumberingLv1"/>
        <w:numPr>
          <w:ilvl w:val="0"/>
          <w:numId w:val="0"/>
        </w:numPr>
        <w:ind w:left="992" w:hanging="612"/>
        <w:jc w:val="both"/>
        <w:rPr>
          <w:rFonts w:ascii="Arial" w:hAnsi="Arial" w:cs="Arial"/>
          <w:sz w:val="22"/>
        </w:rPr>
      </w:pPr>
      <w:r w:rsidRPr="007542B3">
        <w:rPr>
          <w:rFonts w:ascii="Arial" w:hAnsi="Arial" w:cs="Arial"/>
          <w:sz w:val="22"/>
        </w:rPr>
        <w:tab/>
        <w:t>Evidence of occupation must be provided.</w:t>
      </w:r>
    </w:p>
    <w:p w14:paraId="034A2983" w14:textId="0B9524B2" w:rsidR="00D269A8" w:rsidRPr="007542B3" w:rsidRDefault="00D269A8" w:rsidP="00D760D5">
      <w:pPr>
        <w:pStyle w:val="ShgBodySubnumberingLv1"/>
        <w:numPr>
          <w:ilvl w:val="0"/>
          <w:numId w:val="0"/>
        </w:numPr>
        <w:ind w:left="652" w:firstLine="340"/>
        <w:jc w:val="both"/>
        <w:rPr>
          <w:rFonts w:ascii="Arial" w:hAnsi="Arial" w:cs="Arial"/>
          <w:sz w:val="22"/>
        </w:rPr>
      </w:pPr>
      <w:r w:rsidRPr="007542B3">
        <w:rPr>
          <w:rFonts w:ascii="Arial" w:hAnsi="Arial" w:cs="Arial"/>
          <w:sz w:val="22"/>
        </w:rPr>
        <w:t>The successor will take over the existing tenancy: no new tenancy shall be issued.</w:t>
      </w:r>
    </w:p>
    <w:p w14:paraId="19E05370" w14:textId="44AE1D4A" w:rsidR="00CE5096" w:rsidRPr="007542B3" w:rsidRDefault="00D760D5" w:rsidP="00D64423">
      <w:pPr>
        <w:pStyle w:val="ShgBodySubnumberingLv1"/>
        <w:numPr>
          <w:ilvl w:val="0"/>
          <w:numId w:val="0"/>
        </w:numPr>
        <w:ind w:left="992" w:hanging="612"/>
        <w:jc w:val="both"/>
        <w:rPr>
          <w:rFonts w:ascii="Arial" w:hAnsi="Arial" w:cs="Arial"/>
          <w:sz w:val="22"/>
        </w:rPr>
      </w:pPr>
      <w:r w:rsidRPr="007542B3">
        <w:rPr>
          <w:rFonts w:ascii="Arial" w:hAnsi="Arial" w:cs="Arial"/>
          <w:sz w:val="22"/>
        </w:rPr>
        <w:t>4.2.2</w:t>
      </w:r>
      <w:r w:rsidRPr="007542B3">
        <w:rPr>
          <w:rFonts w:ascii="Arial" w:hAnsi="Arial" w:cs="Arial"/>
          <w:sz w:val="22"/>
        </w:rPr>
        <w:tab/>
      </w:r>
      <w:r w:rsidR="00CE5096" w:rsidRPr="007542B3">
        <w:rPr>
          <w:rFonts w:ascii="Arial" w:hAnsi="Arial" w:cs="Arial"/>
          <w:sz w:val="22"/>
        </w:rPr>
        <w:t xml:space="preserve"> If the tenant was a sole tenant, then a member of the tenant’s family </w:t>
      </w:r>
      <w:r w:rsidR="00B22A7C" w:rsidRPr="007542B3">
        <w:rPr>
          <w:rFonts w:ascii="Arial" w:hAnsi="Arial" w:cs="Arial"/>
          <w:sz w:val="22"/>
        </w:rPr>
        <w:t xml:space="preserve">may </w:t>
      </w:r>
      <w:r w:rsidR="00C32602" w:rsidRPr="007542B3">
        <w:rPr>
          <w:rFonts w:ascii="Arial" w:hAnsi="Arial" w:cs="Arial"/>
          <w:sz w:val="22"/>
        </w:rPr>
        <w:t>su</w:t>
      </w:r>
      <w:r w:rsidR="00CE5096" w:rsidRPr="007542B3">
        <w:rPr>
          <w:rFonts w:ascii="Arial" w:hAnsi="Arial" w:cs="Arial"/>
          <w:sz w:val="22"/>
        </w:rPr>
        <w:t>cceed. However, the succession can only take place if</w:t>
      </w:r>
      <w:r w:rsidR="00D64423" w:rsidRPr="007542B3">
        <w:rPr>
          <w:rFonts w:ascii="Arial" w:hAnsi="Arial" w:cs="Arial"/>
          <w:sz w:val="22"/>
        </w:rPr>
        <w:t xml:space="preserve"> t</w:t>
      </w:r>
      <w:r w:rsidR="00CE5096" w:rsidRPr="007542B3">
        <w:rPr>
          <w:rFonts w:ascii="Arial" w:hAnsi="Arial" w:cs="Arial"/>
          <w:sz w:val="22"/>
        </w:rPr>
        <w:t>he person lived with the tenant for 12 months prior to death</w:t>
      </w:r>
      <w:r w:rsidR="008720F3" w:rsidRPr="002408A8">
        <w:rPr>
          <w:rFonts w:ascii="Arial" w:hAnsi="Arial" w:cs="Arial"/>
          <w:sz w:val="22"/>
        </w:rPr>
        <w:t>.</w:t>
      </w:r>
      <w:r w:rsidR="00CE5096" w:rsidRPr="007542B3">
        <w:rPr>
          <w:rFonts w:ascii="Arial" w:hAnsi="Arial" w:cs="Arial"/>
          <w:sz w:val="22"/>
        </w:rPr>
        <w:t xml:space="preserve"> </w:t>
      </w:r>
    </w:p>
    <w:p w14:paraId="2356DA08" w14:textId="2677DF32" w:rsidR="00CE5096" w:rsidRPr="007542B3" w:rsidRDefault="005F25D2" w:rsidP="00A1452E">
      <w:pPr>
        <w:pStyle w:val="ShgBodySubnumberingLv1"/>
        <w:numPr>
          <w:ilvl w:val="0"/>
          <w:numId w:val="0"/>
        </w:numPr>
        <w:ind w:left="992" w:hanging="612"/>
        <w:jc w:val="both"/>
        <w:rPr>
          <w:rFonts w:ascii="Arial" w:hAnsi="Arial" w:cs="Arial"/>
          <w:sz w:val="22"/>
        </w:rPr>
      </w:pPr>
      <w:r w:rsidRPr="007542B3">
        <w:rPr>
          <w:rFonts w:ascii="Arial" w:hAnsi="Arial" w:cs="Arial"/>
          <w:sz w:val="22"/>
        </w:rPr>
        <w:t>4.2.3</w:t>
      </w:r>
      <w:r w:rsidRPr="007542B3">
        <w:rPr>
          <w:rFonts w:ascii="Arial" w:hAnsi="Arial" w:cs="Arial"/>
          <w:sz w:val="22"/>
        </w:rPr>
        <w:tab/>
      </w:r>
      <w:r w:rsidR="00CE5096" w:rsidRPr="007542B3">
        <w:rPr>
          <w:rFonts w:ascii="Arial" w:hAnsi="Arial" w:cs="Arial"/>
          <w:sz w:val="22"/>
        </w:rPr>
        <w:t xml:space="preserve">The following family members can claim succession: the tenant’s partner, parent, grandparent, child, stepchild, grandchild, brother, sister, uncle, aunt, nephew or niece (whether the relationship is by blood or by marriage). </w:t>
      </w:r>
    </w:p>
    <w:p w14:paraId="3A2A74B0" w14:textId="62902689" w:rsidR="008012F4" w:rsidRPr="007542B3" w:rsidRDefault="008012F4" w:rsidP="00A1452E">
      <w:pPr>
        <w:pStyle w:val="ShgBodySubnumberingLv1"/>
        <w:numPr>
          <w:ilvl w:val="0"/>
          <w:numId w:val="0"/>
        </w:numPr>
        <w:ind w:left="992" w:hanging="612"/>
        <w:jc w:val="both"/>
        <w:rPr>
          <w:rFonts w:ascii="Arial" w:hAnsi="Arial" w:cs="Arial"/>
          <w:sz w:val="22"/>
        </w:rPr>
      </w:pPr>
      <w:r w:rsidRPr="007542B3">
        <w:rPr>
          <w:rFonts w:ascii="Arial" w:hAnsi="Arial" w:cs="Arial"/>
          <w:sz w:val="22"/>
        </w:rPr>
        <w:t>4.2.4  Where a succession to a family member is granted under the tenancy agreement, for tenancies granted before 1 April 2012 a new tenancy will be granted to the successor.</w:t>
      </w:r>
    </w:p>
    <w:p w14:paraId="069CB4AE" w14:textId="5B057BAC" w:rsidR="00CE5096" w:rsidRPr="007542B3" w:rsidRDefault="00CE5096" w:rsidP="00A1452E">
      <w:pPr>
        <w:pStyle w:val="ShgBodySubnumberingLv1"/>
        <w:numPr>
          <w:ilvl w:val="0"/>
          <w:numId w:val="0"/>
        </w:numPr>
        <w:ind w:left="992" w:hanging="612"/>
        <w:jc w:val="both"/>
        <w:rPr>
          <w:rFonts w:ascii="Arial" w:hAnsi="Arial" w:cs="Arial"/>
          <w:sz w:val="22"/>
        </w:rPr>
      </w:pPr>
      <w:r w:rsidRPr="007542B3">
        <w:rPr>
          <w:rFonts w:ascii="Arial" w:hAnsi="Arial" w:cs="Arial"/>
          <w:sz w:val="22"/>
        </w:rPr>
        <w:t xml:space="preserve"> </w:t>
      </w:r>
      <w:r w:rsidR="005F25D2" w:rsidRPr="007542B3">
        <w:rPr>
          <w:rFonts w:ascii="Arial" w:hAnsi="Arial" w:cs="Arial"/>
          <w:sz w:val="22"/>
        </w:rPr>
        <w:t>4.2</w:t>
      </w:r>
      <w:r w:rsidR="00A1452E" w:rsidRPr="007542B3">
        <w:rPr>
          <w:rFonts w:ascii="Arial" w:hAnsi="Arial" w:cs="Arial"/>
          <w:sz w:val="22"/>
        </w:rPr>
        <w:t>.</w:t>
      </w:r>
      <w:r w:rsidR="005F25D2" w:rsidRPr="007542B3">
        <w:rPr>
          <w:rFonts w:ascii="Arial" w:hAnsi="Arial" w:cs="Arial"/>
          <w:sz w:val="22"/>
        </w:rPr>
        <w:t>4</w:t>
      </w:r>
      <w:r w:rsidR="00A1452E" w:rsidRPr="007542B3">
        <w:rPr>
          <w:rFonts w:ascii="Arial" w:hAnsi="Arial" w:cs="Arial"/>
          <w:sz w:val="22"/>
        </w:rPr>
        <w:tab/>
      </w:r>
      <w:r w:rsidRPr="007542B3">
        <w:rPr>
          <w:rFonts w:ascii="Arial" w:hAnsi="Arial" w:cs="Arial"/>
          <w:sz w:val="22"/>
        </w:rPr>
        <w:t xml:space="preserve">There is only one right of succession. </w:t>
      </w:r>
    </w:p>
    <w:p w14:paraId="652FEEE5" w14:textId="63E775D3" w:rsidR="00CE5096" w:rsidRPr="007542B3" w:rsidRDefault="00A1452E" w:rsidP="00ED4BE7">
      <w:pPr>
        <w:pStyle w:val="ShgBodySubnumberingLv1"/>
        <w:numPr>
          <w:ilvl w:val="0"/>
          <w:numId w:val="0"/>
        </w:numPr>
        <w:ind w:left="992" w:hanging="612"/>
        <w:jc w:val="both"/>
        <w:rPr>
          <w:rFonts w:ascii="Arial" w:hAnsi="Arial" w:cs="Arial"/>
          <w:sz w:val="22"/>
        </w:rPr>
      </w:pPr>
      <w:r w:rsidRPr="007542B3">
        <w:rPr>
          <w:rFonts w:ascii="Arial" w:hAnsi="Arial" w:cs="Arial"/>
          <w:sz w:val="22"/>
        </w:rPr>
        <w:t>4.2.5</w:t>
      </w:r>
      <w:r w:rsidRPr="007542B3">
        <w:rPr>
          <w:rFonts w:ascii="Arial" w:hAnsi="Arial" w:cs="Arial"/>
          <w:sz w:val="22"/>
        </w:rPr>
        <w:tab/>
      </w:r>
      <w:r w:rsidR="00CE5096" w:rsidRPr="007542B3">
        <w:rPr>
          <w:rFonts w:ascii="Arial" w:hAnsi="Arial" w:cs="Arial"/>
          <w:sz w:val="22"/>
        </w:rPr>
        <w:t xml:space="preserve">The Right </w:t>
      </w:r>
      <w:r w:rsidR="00BC532C" w:rsidRPr="007542B3">
        <w:rPr>
          <w:rFonts w:ascii="Arial" w:hAnsi="Arial" w:cs="Arial"/>
          <w:sz w:val="22"/>
        </w:rPr>
        <w:t>t</w:t>
      </w:r>
      <w:r w:rsidR="00CE5096" w:rsidRPr="007542B3">
        <w:rPr>
          <w:rFonts w:ascii="Arial" w:hAnsi="Arial" w:cs="Arial"/>
          <w:sz w:val="22"/>
        </w:rPr>
        <w:t xml:space="preserve">o Buy goes with the succession. As a new tenancy agreement will not be entered into on a succession (merely the name changing), the rights of the original tenant follow the tenancy. </w:t>
      </w:r>
    </w:p>
    <w:p w14:paraId="66AD7640" w14:textId="3F78D312" w:rsidR="00CE5096" w:rsidRPr="007542B3" w:rsidRDefault="00CE5096" w:rsidP="00ED4BE7">
      <w:pPr>
        <w:pStyle w:val="ShgBodySubnumberingLv1"/>
        <w:numPr>
          <w:ilvl w:val="0"/>
          <w:numId w:val="0"/>
        </w:numPr>
        <w:ind w:left="992" w:hanging="612"/>
        <w:jc w:val="both"/>
        <w:rPr>
          <w:rFonts w:ascii="Arial" w:hAnsi="Arial" w:cs="Arial"/>
          <w:sz w:val="22"/>
        </w:rPr>
      </w:pPr>
      <w:r w:rsidRPr="007542B3">
        <w:rPr>
          <w:rFonts w:ascii="Arial" w:hAnsi="Arial" w:cs="Arial"/>
          <w:sz w:val="22"/>
        </w:rPr>
        <w:t xml:space="preserve"> </w:t>
      </w:r>
      <w:r w:rsidR="006B0446" w:rsidRPr="007542B3">
        <w:rPr>
          <w:rFonts w:ascii="Arial" w:hAnsi="Arial" w:cs="Arial"/>
          <w:sz w:val="22"/>
        </w:rPr>
        <w:t>4.2.6</w:t>
      </w:r>
      <w:r w:rsidR="006B0446" w:rsidRPr="007542B3">
        <w:rPr>
          <w:rFonts w:ascii="Arial" w:hAnsi="Arial" w:cs="Arial"/>
          <w:sz w:val="22"/>
        </w:rPr>
        <w:tab/>
      </w:r>
      <w:r w:rsidRPr="007542B3">
        <w:rPr>
          <w:rFonts w:ascii="Arial" w:hAnsi="Arial" w:cs="Arial"/>
          <w:sz w:val="22"/>
        </w:rPr>
        <w:t xml:space="preserve">Calculation of any discount entitlement depends on the length of occupancy of the person claiming.  A child who succeeds to the tenancy can claim any period during which he </w:t>
      </w:r>
      <w:r w:rsidR="00075EB0">
        <w:rPr>
          <w:rFonts w:ascii="Arial" w:hAnsi="Arial" w:cs="Arial"/>
          <w:sz w:val="22"/>
        </w:rPr>
        <w:t xml:space="preserve">or she </w:t>
      </w:r>
      <w:r w:rsidRPr="007542B3">
        <w:rPr>
          <w:rFonts w:ascii="Arial" w:hAnsi="Arial" w:cs="Arial"/>
          <w:sz w:val="22"/>
        </w:rPr>
        <w:t>occupied the house over the age of 16, whil</w:t>
      </w:r>
      <w:r w:rsidR="00075EB0">
        <w:rPr>
          <w:rFonts w:ascii="Arial" w:hAnsi="Arial" w:cs="Arial"/>
          <w:sz w:val="22"/>
        </w:rPr>
        <w:t>e</w:t>
      </w:r>
      <w:r w:rsidRPr="007542B3">
        <w:rPr>
          <w:rFonts w:ascii="Arial" w:hAnsi="Arial" w:cs="Arial"/>
          <w:sz w:val="22"/>
        </w:rPr>
        <w:t xml:space="preserve"> their parent was the tenant. </w:t>
      </w:r>
    </w:p>
    <w:p w14:paraId="0CD11326" w14:textId="3874798F" w:rsidR="007F50D3" w:rsidRPr="002408A8" w:rsidRDefault="001635BA" w:rsidP="00921541">
      <w:pPr>
        <w:pStyle w:val="Level1"/>
        <w:keepNext/>
        <w:numPr>
          <w:ilvl w:val="0"/>
          <w:numId w:val="0"/>
        </w:numPr>
        <w:ind w:left="1001" w:hanging="992"/>
        <w:rPr>
          <w:rStyle w:val="Level1asheadingtext"/>
          <w:sz w:val="22"/>
        </w:rPr>
      </w:pPr>
      <w:r w:rsidRPr="002408A8">
        <w:rPr>
          <w:rStyle w:val="Level1asheadingtext"/>
          <w:sz w:val="22"/>
        </w:rPr>
        <w:t xml:space="preserve">4.3 </w:t>
      </w:r>
      <w:r w:rsidR="007F50D3" w:rsidRPr="002408A8">
        <w:rPr>
          <w:rStyle w:val="Level1asheadingtext"/>
          <w:sz w:val="22"/>
        </w:rPr>
        <w:t xml:space="preserve">Succession Rights of Assured (Fully) Tenants </w:t>
      </w:r>
    </w:p>
    <w:p w14:paraId="16C983E3" w14:textId="613082CF" w:rsidR="008478B4" w:rsidRPr="007542B3" w:rsidRDefault="00B43B3F" w:rsidP="00845622">
      <w:pPr>
        <w:pStyle w:val="ShgBodySubnumberingLv1"/>
        <w:numPr>
          <w:ilvl w:val="0"/>
          <w:numId w:val="0"/>
        </w:numPr>
        <w:ind w:left="992" w:hanging="612"/>
        <w:jc w:val="both"/>
        <w:rPr>
          <w:rFonts w:ascii="Arial" w:hAnsi="Arial" w:cs="Arial"/>
          <w:sz w:val="22"/>
        </w:rPr>
      </w:pPr>
      <w:r w:rsidRPr="007542B3">
        <w:rPr>
          <w:rFonts w:ascii="Arial" w:hAnsi="Arial" w:cs="Arial"/>
          <w:sz w:val="22"/>
        </w:rPr>
        <w:t>4.3.</w:t>
      </w:r>
      <w:r w:rsidR="00845622" w:rsidRPr="007542B3">
        <w:rPr>
          <w:rFonts w:ascii="Arial" w:hAnsi="Arial" w:cs="Arial"/>
          <w:sz w:val="22"/>
        </w:rPr>
        <w:t>1</w:t>
      </w:r>
      <w:r w:rsidR="00845622" w:rsidRPr="007542B3">
        <w:rPr>
          <w:rFonts w:ascii="Arial" w:hAnsi="Arial" w:cs="Arial"/>
          <w:sz w:val="22"/>
        </w:rPr>
        <w:tab/>
      </w:r>
      <w:r w:rsidR="008478B4" w:rsidRPr="007542B3">
        <w:rPr>
          <w:rFonts w:ascii="Arial" w:hAnsi="Arial" w:cs="Arial"/>
          <w:sz w:val="22"/>
        </w:rPr>
        <w:t xml:space="preserve">On the death of a sole tenant who is not a successor, the tenancy will pass to the tenant’s </w:t>
      </w:r>
      <w:r w:rsidR="00C56B33" w:rsidRPr="007542B3">
        <w:rPr>
          <w:rFonts w:ascii="Arial" w:hAnsi="Arial" w:cs="Arial"/>
          <w:sz w:val="22"/>
        </w:rPr>
        <w:t>spouse/civil partner (or person who has been living together with a tenant as their spouse/civil partner)</w:t>
      </w:r>
      <w:r w:rsidR="008478B4" w:rsidRPr="007542B3">
        <w:rPr>
          <w:rFonts w:ascii="Arial" w:hAnsi="Arial" w:cs="Arial"/>
          <w:sz w:val="22"/>
        </w:rPr>
        <w:t xml:space="preserve"> under the provisions of the Housing Act 1988, provided that they occupied the premises as their own or princip</w:t>
      </w:r>
      <w:r w:rsidR="0093269E" w:rsidRPr="007542B3">
        <w:rPr>
          <w:rFonts w:ascii="Arial" w:hAnsi="Arial" w:cs="Arial"/>
          <w:sz w:val="22"/>
        </w:rPr>
        <w:t>al</w:t>
      </w:r>
      <w:r w:rsidR="008478B4" w:rsidRPr="007542B3">
        <w:rPr>
          <w:rFonts w:ascii="Arial" w:hAnsi="Arial" w:cs="Arial"/>
          <w:sz w:val="22"/>
        </w:rPr>
        <w:t xml:space="preserve"> home at the time of the tenant’s death. </w:t>
      </w:r>
      <w:r w:rsidR="00CB7C8B" w:rsidRPr="007542B3">
        <w:rPr>
          <w:rFonts w:ascii="Arial" w:hAnsi="Arial" w:cs="Arial"/>
          <w:sz w:val="22"/>
        </w:rPr>
        <w:t xml:space="preserve">This is a statutory succession. No new tenancy will be </w:t>
      </w:r>
      <w:r w:rsidR="00FD3FC1" w:rsidRPr="007542B3">
        <w:rPr>
          <w:rFonts w:ascii="Arial" w:hAnsi="Arial" w:cs="Arial"/>
          <w:sz w:val="22"/>
        </w:rPr>
        <w:t>issued.</w:t>
      </w:r>
      <w:r w:rsidR="008478B4" w:rsidRPr="007542B3">
        <w:rPr>
          <w:rFonts w:ascii="Arial" w:hAnsi="Arial" w:cs="Arial"/>
          <w:sz w:val="22"/>
        </w:rPr>
        <w:t xml:space="preserve"> </w:t>
      </w:r>
    </w:p>
    <w:p w14:paraId="0023B199" w14:textId="0E3BC959" w:rsidR="005B16DF" w:rsidRPr="007542B3" w:rsidRDefault="005B16DF" w:rsidP="00ED4BE7">
      <w:pPr>
        <w:pStyle w:val="ShgBodySubnumberingLv1"/>
        <w:numPr>
          <w:ilvl w:val="0"/>
          <w:numId w:val="0"/>
        </w:numPr>
        <w:ind w:left="992" w:hanging="612"/>
        <w:jc w:val="both"/>
        <w:rPr>
          <w:rFonts w:ascii="Arial" w:hAnsi="Arial" w:cs="Arial"/>
          <w:sz w:val="22"/>
        </w:rPr>
      </w:pPr>
      <w:r w:rsidRPr="007542B3">
        <w:rPr>
          <w:rFonts w:ascii="Arial" w:hAnsi="Arial" w:cs="Arial"/>
          <w:sz w:val="22"/>
        </w:rPr>
        <w:tab/>
        <w:t>Evidence of occupation must be provided.</w:t>
      </w:r>
    </w:p>
    <w:p w14:paraId="1BD2BC81" w14:textId="23332B93" w:rsidR="000764FE" w:rsidRPr="007542B3" w:rsidRDefault="00475C6B" w:rsidP="00ED4BE7">
      <w:pPr>
        <w:pStyle w:val="ShgBodySubnumberingLv1"/>
        <w:numPr>
          <w:ilvl w:val="0"/>
          <w:numId w:val="0"/>
        </w:numPr>
        <w:ind w:left="992" w:hanging="612"/>
        <w:jc w:val="both"/>
        <w:rPr>
          <w:rFonts w:ascii="Arial" w:hAnsi="Arial" w:cs="Arial"/>
          <w:sz w:val="22"/>
        </w:rPr>
      </w:pPr>
      <w:r w:rsidRPr="007542B3">
        <w:rPr>
          <w:rFonts w:ascii="Arial" w:hAnsi="Arial" w:cs="Arial"/>
          <w:sz w:val="22"/>
        </w:rPr>
        <w:lastRenderedPageBreak/>
        <w:t>4.3.2</w:t>
      </w:r>
      <w:r w:rsidRPr="007542B3">
        <w:rPr>
          <w:rFonts w:ascii="Arial" w:hAnsi="Arial" w:cs="Arial"/>
          <w:sz w:val="22"/>
        </w:rPr>
        <w:tab/>
      </w:r>
      <w:r w:rsidR="000764FE" w:rsidRPr="007542B3">
        <w:rPr>
          <w:rFonts w:ascii="Arial" w:hAnsi="Arial" w:cs="Arial"/>
          <w:sz w:val="22"/>
        </w:rPr>
        <w:t xml:space="preserve">The majority of </w:t>
      </w:r>
      <w:r w:rsidRPr="007542B3">
        <w:rPr>
          <w:rFonts w:ascii="Arial" w:hAnsi="Arial" w:cs="Arial"/>
          <w:sz w:val="22"/>
        </w:rPr>
        <w:t>our</w:t>
      </w:r>
      <w:r w:rsidR="00A66F98" w:rsidRPr="007542B3">
        <w:rPr>
          <w:rFonts w:ascii="Arial" w:hAnsi="Arial" w:cs="Arial"/>
          <w:sz w:val="22"/>
        </w:rPr>
        <w:t xml:space="preserve"> (fully)</w:t>
      </w:r>
      <w:r w:rsidRPr="007542B3">
        <w:rPr>
          <w:rFonts w:ascii="Arial" w:hAnsi="Arial" w:cs="Arial"/>
          <w:sz w:val="22"/>
        </w:rPr>
        <w:t xml:space="preserve"> </w:t>
      </w:r>
      <w:r w:rsidR="000764FE" w:rsidRPr="007542B3">
        <w:rPr>
          <w:rFonts w:ascii="Arial" w:hAnsi="Arial" w:cs="Arial"/>
          <w:sz w:val="22"/>
        </w:rPr>
        <w:t>Assured Tenancy agreement</w:t>
      </w:r>
      <w:r w:rsidR="002C7557" w:rsidRPr="007542B3">
        <w:rPr>
          <w:rFonts w:ascii="Arial" w:hAnsi="Arial" w:cs="Arial"/>
          <w:sz w:val="22"/>
        </w:rPr>
        <w:t>s</w:t>
      </w:r>
      <w:r w:rsidR="000764FE" w:rsidRPr="007542B3">
        <w:rPr>
          <w:rFonts w:ascii="Arial" w:hAnsi="Arial" w:cs="Arial"/>
          <w:sz w:val="22"/>
        </w:rPr>
        <w:t xml:space="preserve"> will </w:t>
      </w:r>
      <w:r w:rsidR="002018EB" w:rsidRPr="007542B3">
        <w:rPr>
          <w:rFonts w:ascii="Arial" w:hAnsi="Arial" w:cs="Arial"/>
          <w:sz w:val="22"/>
        </w:rPr>
        <w:t>have no additional succession</w:t>
      </w:r>
      <w:r w:rsidR="00BD648D" w:rsidRPr="007542B3">
        <w:rPr>
          <w:rFonts w:ascii="Arial" w:hAnsi="Arial" w:cs="Arial"/>
          <w:sz w:val="22"/>
        </w:rPr>
        <w:t xml:space="preserve"> rights</w:t>
      </w:r>
      <w:r w:rsidR="002018EB" w:rsidRPr="007542B3">
        <w:rPr>
          <w:rFonts w:ascii="Arial" w:hAnsi="Arial" w:cs="Arial"/>
          <w:sz w:val="22"/>
        </w:rPr>
        <w:t xml:space="preserve"> to family members however </w:t>
      </w:r>
      <w:r w:rsidR="003216D5" w:rsidRPr="007542B3">
        <w:rPr>
          <w:rFonts w:ascii="Arial" w:hAnsi="Arial" w:cs="Arial"/>
          <w:sz w:val="22"/>
        </w:rPr>
        <w:t>the tenancy agreements should always be checked.</w:t>
      </w:r>
      <w:r w:rsidR="00BD648D" w:rsidRPr="007542B3">
        <w:rPr>
          <w:rFonts w:ascii="Arial" w:hAnsi="Arial" w:cs="Arial"/>
          <w:sz w:val="22"/>
        </w:rPr>
        <w:t xml:space="preserve"> For example</w:t>
      </w:r>
      <w:r w:rsidR="008721D0" w:rsidRPr="007542B3">
        <w:rPr>
          <w:rFonts w:ascii="Arial" w:hAnsi="Arial" w:cs="Arial"/>
          <w:sz w:val="22"/>
        </w:rPr>
        <w:t>:</w:t>
      </w:r>
      <w:r w:rsidR="00BD648D" w:rsidRPr="007542B3">
        <w:rPr>
          <w:rFonts w:ascii="Arial" w:hAnsi="Arial" w:cs="Arial"/>
          <w:sz w:val="22"/>
        </w:rPr>
        <w:t xml:space="preserve"> some tenanci</w:t>
      </w:r>
      <w:r w:rsidR="00D77959" w:rsidRPr="007542B3">
        <w:rPr>
          <w:rFonts w:ascii="Arial" w:hAnsi="Arial" w:cs="Arial"/>
          <w:sz w:val="22"/>
        </w:rPr>
        <w:t xml:space="preserve">es that came to West Kent as part of a stock </w:t>
      </w:r>
      <w:r w:rsidR="008721D0" w:rsidRPr="007542B3">
        <w:rPr>
          <w:rFonts w:ascii="Arial" w:hAnsi="Arial" w:cs="Arial"/>
          <w:sz w:val="22"/>
        </w:rPr>
        <w:t>transfer</w:t>
      </w:r>
      <w:r w:rsidR="00D77959" w:rsidRPr="007542B3">
        <w:rPr>
          <w:rFonts w:ascii="Arial" w:hAnsi="Arial" w:cs="Arial"/>
          <w:sz w:val="22"/>
        </w:rPr>
        <w:t xml:space="preserve"> may include </w:t>
      </w:r>
      <w:r w:rsidR="00BD648D" w:rsidRPr="007542B3">
        <w:rPr>
          <w:rFonts w:ascii="Arial" w:hAnsi="Arial" w:cs="Arial"/>
          <w:sz w:val="22"/>
        </w:rPr>
        <w:t>additional right</w:t>
      </w:r>
      <w:r w:rsidR="00460A16" w:rsidRPr="007542B3">
        <w:rPr>
          <w:rFonts w:ascii="Arial" w:hAnsi="Arial" w:cs="Arial"/>
          <w:sz w:val="22"/>
        </w:rPr>
        <w:t>s.</w:t>
      </w:r>
    </w:p>
    <w:p w14:paraId="530A81D8" w14:textId="6CA3B3D5" w:rsidR="003216D5" w:rsidRPr="007542B3" w:rsidRDefault="008721D0" w:rsidP="00ED4BE7">
      <w:pPr>
        <w:pStyle w:val="ShgTitleSubnumbering"/>
        <w:numPr>
          <w:ilvl w:val="0"/>
          <w:numId w:val="0"/>
        </w:numPr>
        <w:ind w:left="720" w:firstLine="272"/>
        <w:jc w:val="both"/>
        <w:rPr>
          <w:rFonts w:cs="Arial"/>
          <w:b w:val="0"/>
          <w:color w:val="auto"/>
          <w:sz w:val="22"/>
        </w:rPr>
      </w:pPr>
      <w:r w:rsidRPr="007542B3">
        <w:rPr>
          <w:rFonts w:cs="Arial"/>
          <w:b w:val="0"/>
          <w:color w:val="auto"/>
          <w:sz w:val="22"/>
        </w:rPr>
        <w:t xml:space="preserve">If </w:t>
      </w:r>
      <w:r w:rsidR="003216D5" w:rsidRPr="007542B3">
        <w:rPr>
          <w:rFonts w:cs="Arial"/>
          <w:b w:val="0"/>
          <w:color w:val="auto"/>
          <w:sz w:val="22"/>
        </w:rPr>
        <w:t xml:space="preserve">the tenancy agreement </w:t>
      </w:r>
      <w:r w:rsidR="0065543D" w:rsidRPr="007542B3">
        <w:rPr>
          <w:rFonts w:cs="Arial"/>
          <w:b w:val="0"/>
          <w:color w:val="auto"/>
          <w:sz w:val="22"/>
        </w:rPr>
        <w:t>allows additional succession rights for family members</w:t>
      </w:r>
      <w:r w:rsidR="00F8383B" w:rsidRPr="007542B3">
        <w:rPr>
          <w:rFonts w:cs="Arial"/>
          <w:b w:val="0"/>
          <w:color w:val="auto"/>
          <w:sz w:val="22"/>
        </w:rPr>
        <w:t>:</w:t>
      </w:r>
    </w:p>
    <w:p w14:paraId="57E70FD7" w14:textId="434A1906" w:rsidR="00F8383B" w:rsidRPr="007542B3" w:rsidRDefault="00F8383B" w:rsidP="00234854">
      <w:pPr>
        <w:pStyle w:val="ShgTitleSubnumbering"/>
        <w:numPr>
          <w:ilvl w:val="0"/>
          <w:numId w:val="33"/>
        </w:numPr>
        <w:jc w:val="both"/>
        <w:rPr>
          <w:rFonts w:cs="Arial"/>
          <w:b w:val="0"/>
          <w:color w:val="auto"/>
          <w:sz w:val="22"/>
        </w:rPr>
      </w:pPr>
      <w:r w:rsidRPr="007542B3">
        <w:rPr>
          <w:rFonts w:cs="Arial"/>
          <w:b w:val="0"/>
          <w:color w:val="auto"/>
          <w:sz w:val="22"/>
        </w:rPr>
        <w:t>Where a succession to a family member is granted under the tenancy agreement, for tenancies granted before 1 April 2012 a new tenancy will be granted to the successor.</w:t>
      </w:r>
    </w:p>
    <w:p w14:paraId="0390914E" w14:textId="7D520829" w:rsidR="00E777A0" w:rsidRPr="007542B3" w:rsidRDefault="00E777A0" w:rsidP="00234854">
      <w:pPr>
        <w:pStyle w:val="ShgTitleSubnumbering"/>
        <w:numPr>
          <w:ilvl w:val="0"/>
          <w:numId w:val="33"/>
        </w:numPr>
        <w:jc w:val="both"/>
        <w:rPr>
          <w:rFonts w:cs="Arial"/>
          <w:b w:val="0"/>
          <w:color w:val="auto"/>
          <w:sz w:val="22"/>
        </w:rPr>
      </w:pPr>
      <w:r w:rsidRPr="007542B3">
        <w:rPr>
          <w:rFonts w:cs="Arial"/>
          <w:b w:val="0"/>
          <w:color w:val="auto"/>
          <w:sz w:val="22"/>
        </w:rPr>
        <w:t xml:space="preserve">For tenancies granted on or after 1 April </w:t>
      </w:r>
      <w:r w:rsidR="00B46D5B" w:rsidRPr="007542B3">
        <w:rPr>
          <w:rFonts w:cs="Arial"/>
          <w:b w:val="0"/>
          <w:color w:val="auto"/>
          <w:sz w:val="22"/>
        </w:rPr>
        <w:t xml:space="preserve">2012 the tenancy will </w:t>
      </w:r>
      <w:r w:rsidR="001B431D" w:rsidRPr="007542B3">
        <w:rPr>
          <w:rFonts w:cs="Arial"/>
          <w:b w:val="0"/>
          <w:color w:val="auto"/>
          <w:sz w:val="22"/>
        </w:rPr>
        <w:t>vest automatically to a qualifying successor so long as</w:t>
      </w:r>
      <w:r w:rsidR="008720F3" w:rsidRPr="002408A8">
        <w:rPr>
          <w:rFonts w:cs="Arial"/>
          <w:b w:val="0"/>
          <w:color w:val="auto"/>
          <w:sz w:val="22"/>
        </w:rPr>
        <w:t>:</w:t>
      </w:r>
    </w:p>
    <w:p w14:paraId="5F82D4F5" w14:textId="610CEA12" w:rsidR="001B431D" w:rsidRPr="007542B3" w:rsidRDefault="001B431D" w:rsidP="00DD698A">
      <w:pPr>
        <w:pStyle w:val="ShgTitleSubnumbering"/>
        <w:numPr>
          <w:ilvl w:val="0"/>
          <w:numId w:val="9"/>
        </w:numPr>
        <w:jc w:val="both"/>
        <w:rPr>
          <w:rFonts w:cs="Arial"/>
          <w:b w:val="0"/>
          <w:color w:val="auto"/>
          <w:sz w:val="22"/>
        </w:rPr>
      </w:pPr>
      <w:r w:rsidRPr="007542B3">
        <w:rPr>
          <w:rFonts w:cs="Arial"/>
          <w:b w:val="0"/>
          <w:color w:val="auto"/>
          <w:sz w:val="22"/>
        </w:rPr>
        <w:t xml:space="preserve">The property was not </w:t>
      </w:r>
      <w:r w:rsidR="00E810F7" w:rsidRPr="007542B3">
        <w:rPr>
          <w:rFonts w:cs="Arial"/>
          <w:b w:val="0"/>
          <w:color w:val="auto"/>
          <w:sz w:val="22"/>
        </w:rPr>
        <w:t>occupied by a spouse or civil partner</w:t>
      </w:r>
    </w:p>
    <w:p w14:paraId="5C23100A" w14:textId="2A4A74F9" w:rsidR="00E810F7" w:rsidRPr="007542B3" w:rsidRDefault="00476BA6" w:rsidP="00ED4BE7">
      <w:pPr>
        <w:pStyle w:val="ShgTitleSubnumbering"/>
        <w:numPr>
          <w:ilvl w:val="0"/>
          <w:numId w:val="9"/>
        </w:numPr>
        <w:jc w:val="both"/>
        <w:rPr>
          <w:rFonts w:cs="Arial"/>
          <w:b w:val="0"/>
          <w:color w:val="auto"/>
          <w:sz w:val="22"/>
        </w:rPr>
      </w:pPr>
      <w:r w:rsidRPr="007542B3">
        <w:rPr>
          <w:rFonts w:cs="Arial"/>
          <w:b w:val="0"/>
          <w:color w:val="auto"/>
          <w:sz w:val="22"/>
        </w:rPr>
        <w:t>The person can succeed in accordance with a term in the tenancy agreement</w:t>
      </w:r>
      <w:r w:rsidR="00DD698A" w:rsidRPr="007542B3">
        <w:rPr>
          <w:rFonts w:cs="Arial"/>
          <w:b w:val="0"/>
          <w:color w:val="auto"/>
          <w:sz w:val="22"/>
        </w:rPr>
        <w:t>.</w:t>
      </w:r>
    </w:p>
    <w:p w14:paraId="30DA145E" w14:textId="77777777" w:rsidR="00F8383B" w:rsidRPr="007542B3" w:rsidRDefault="00F8383B" w:rsidP="5432ACD7">
      <w:pPr>
        <w:pStyle w:val="ShgTitleSubnumbering"/>
        <w:numPr>
          <w:ilvl w:val="0"/>
          <w:numId w:val="0"/>
        </w:numPr>
        <w:ind w:left="720" w:firstLine="9"/>
        <w:jc w:val="both"/>
        <w:rPr>
          <w:rFonts w:cs="Arial"/>
          <w:b w:val="0"/>
          <w:color w:val="auto"/>
          <w:sz w:val="22"/>
        </w:rPr>
      </w:pPr>
    </w:p>
    <w:p w14:paraId="395191D6" w14:textId="2424087C" w:rsidR="00AF7333" w:rsidRPr="002408A8" w:rsidRDefault="00AF7333" w:rsidP="00ED4BE7">
      <w:pPr>
        <w:pStyle w:val="Level1"/>
        <w:keepNext/>
        <w:numPr>
          <w:ilvl w:val="0"/>
          <w:numId w:val="0"/>
        </w:numPr>
        <w:ind w:left="1001" w:hanging="992"/>
        <w:rPr>
          <w:rStyle w:val="Level1asheadingtext"/>
          <w:sz w:val="22"/>
        </w:rPr>
      </w:pPr>
      <w:r w:rsidRPr="002408A8">
        <w:rPr>
          <w:rStyle w:val="Level1asheadingtext"/>
          <w:sz w:val="22"/>
        </w:rPr>
        <w:t>4.</w:t>
      </w:r>
      <w:r w:rsidR="00481A3E" w:rsidRPr="002408A8">
        <w:rPr>
          <w:rStyle w:val="Level1asheadingtext"/>
          <w:sz w:val="22"/>
        </w:rPr>
        <w:t>4</w:t>
      </w:r>
      <w:r w:rsidRPr="002408A8">
        <w:rPr>
          <w:rStyle w:val="Level1asheadingtext"/>
          <w:sz w:val="22"/>
        </w:rPr>
        <w:t xml:space="preserve"> Starter</w:t>
      </w:r>
      <w:r w:rsidR="00FD1F22" w:rsidRPr="002408A8">
        <w:rPr>
          <w:rStyle w:val="Level1asheadingtext"/>
          <w:sz w:val="22"/>
        </w:rPr>
        <w:t xml:space="preserve"> and </w:t>
      </w:r>
      <w:r w:rsidRPr="002408A8">
        <w:rPr>
          <w:rStyle w:val="Level1asheadingtext"/>
          <w:sz w:val="22"/>
        </w:rPr>
        <w:t xml:space="preserve">Fixed Term </w:t>
      </w:r>
      <w:r w:rsidR="00FD1F22" w:rsidRPr="002408A8">
        <w:rPr>
          <w:rStyle w:val="Level1asheadingtext"/>
          <w:sz w:val="22"/>
        </w:rPr>
        <w:t>Tenancies</w:t>
      </w:r>
      <w:r w:rsidRPr="002408A8">
        <w:rPr>
          <w:rStyle w:val="Level1asheadingtext"/>
          <w:sz w:val="22"/>
        </w:rPr>
        <w:t xml:space="preserve">  </w:t>
      </w:r>
    </w:p>
    <w:p w14:paraId="0954864D" w14:textId="0DCCB067" w:rsidR="00AF7333" w:rsidRPr="007542B3" w:rsidRDefault="00AF7333" w:rsidP="00481A3E">
      <w:pPr>
        <w:ind w:left="720"/>
        <w:rPr>
          <w:rFonts w:ascii="Arial" w:hAnsi="Arial" w:cs="Arial"/>
          <w:kern w:val="0"/>
          <w14:ligatures w14:val="none"/>
        </w:rPr>
      </w:pPr>
      <w:r w:rsidRPr="007542B3">
        <w:rPr>
          <w:rFonts w:ascii="Arial" w:hAnsi="Arial" w:cs="Arial"/>
          <w:kern w:val="0"/>
          <w14:ligatures w14:val="none"/>
        </w:rPr>
        <w:t>These tenants do have the right to succeed the remainder of the tenancy period as per conditions of 4.</w:t>
      </w:r>
      <w:r w:rsidR="00481A3E" w:rsidRPr="007542B3">
        <w:rPr>
          <w:rFonts w:ascii="Arial" w:hAnsi="Arial" w:cs="Arial"/>
          <w:kern w:val="0"/>
          <w14:ligatures w14:val="none"/>
        </w:rPr>
        <w:t>3</w:t>
      </w:r>
      <w:r w:rsidR="00D2602E" w:rsidRPr="007542B3">
        <w:rPr>
          <w:rFonts w:ascii="Arial" w:hAnsi="Arial" w:cs="Arial"/>
          <w:kern w:val="0"/>
          <w14:ligatures w14:val="none"/>
        </w:rPr>
        <w:t>.</w:t>
      </w:r>
      <w:r w:rsidR="0004798D" w:rsidRPr="007542B3">
        <w:rPr>
          <w:rFonts w:ascii="Arial" w:hAnsi="Arial" w:cs="Arial"/>
          <w:kern w:val="0"/>
          <w14:ligatures w14:val="none"/>
        </w:rPr>
        <w:t>1</w:t>
      </w:r>
      <w:r w:rsidR="008720F3" w:rsidRPr="002408A8">
        <w:rPr>
          <w:rFonts w:ascii="Arial" w:hAnsi="Arial" w:cs="Arial"/>
          <w:kern w:val="0"/>
          <w14:ligatures w14:val="none"/>
        </w:rPr>
        <w:t>,</w:t>
      </w:r>
      <w:r w:rsidR="00D2602E" w:rsidRPr="007542B3">
        <w:rPr>
          <w:rFonts w:ascii="Arial" w:hAnsi="Arial" w:cs="Arial"/>
          <w:kern w:val="0"/>
          <w14:ligatures w14:val="none"/>
        </w:rPr>
        <w:t xml:space="preserve"> as long as there is a period of at least two years left on the Fixed Term Tenancy.</w:t>
      </w:r>
    </w:p>
    <w:p w14:paraId="526D782C" w14:textId="4D0F96FC" w:rsidR="002C2193" w:rsidRPr="007542B3" w:rsidRDefault="002C2193" w:rsidP="00481A3E">
      <w:pPr>
        <w:ind w:left="720"/>
        <w:rPr>
          <w:rFonts w:ascii="Arial" w:hAnsi="Arial" w:cs="Arial"/>
          <w:kern w:val="0"/>
          <w14:ligatures w14:val="none"/>
        </w:rPr>
      </w:pPr>
      <w:r w:rsidRPr="007542B3">
        <w:rPr>
          <w:rFonts w:ascii="Arial" w:hAnsi="Arial" w:cs="Arial"/>
          <w:kern w:val="0"/>
          <w14:ligatures w14:val="none"/>
        </w:rPr>
        <w:t xml:space="preserve">There is no right of succession to a sole fixed term assured tenancy of less than </w:t>
      </w:r>
      <w:r w:rsidR="008720F3" w:rsidRPr="002408A8">
        <w:rPr>
          <w:rFonts w:ascii="Arial" w:hAnsi="Arial" w:cs="Arial"/>
          <w:kern w:val="0"/>
          <w14:ligatures w14:val="none"/>
        </w:rPr>
        <w:t>two</w:t>
      </w:r>
      <w:r w:rsidRPr="007542B3">
        <w:rPr>
          <w:rFonts w:ascii="Arial" w:hAnsi="Arial" w:cs="Arial"/>
          <w:kern w:val="0"/>
          <w14:ligatures w14:val="none"/>
        </w:rPr>
        <w:t xml:space="preserve"> years</w:t>
      </w:r>
      <w:r w:rsidR="0004798D" w:rsidRPr="007542B3">
        <w:rPr>
          <w:rFonts w:ascii="Arial" w:hAnsi="Arial" w:cs="Arial"/>
          <w:kern w:val="0"/>
          <w14:ligatures w14:val="none"/>
        </w:rPr>
        <w:t>.</w:t>
      </w:r>
    </w:p>
    <w:p w14:paraId="4E72E771" w14:textId="030C9B5A" w:rsidR="00D96441" w:rsidRPr="007542B3" w:rsidRDefault="00004FD9" w:rsidP="5432ACD7">
      <w:pPr>
        <w:pStyle w:val="Level1"/>
        <w:keepNext/>
        <w:ind w:left="426" w:hanging="710"/>
        <w:rPr>
          <w:rStyle w:val="Level1asheadingtext"/>
          <w:sz w:val="22"/>
        </w:rPr>
      </w:pPr>
      <w:r w:rsidRPr="007542B3">
        <w:rPr>
          <w:rStyle w:val="Level1asheadingtext"/>
          <w:sz w:val="22"/>
        </w:rPr>
        <w:t>Discretionary Tenanc</w:t>
      </w:r>
      <w:r w:rsidR="00274145" w:rsidRPr="007542B3">
        <w:rPr>
          <w:rStyle w:val="Level1asheadingtext"/>
          <w:sz w:val="22"/>
        </w:rPr>
        <w:t>ies</w:t>
      </w:r>
      <w:r w:rsidRPr="007542B3">
        <w:rPr>
          <w:rStyle w:val="Level1asheadingtext"/>
          <w:sz w:val="22"/>
        </w:rPr>
        <w:t xml:space="preserve"> </w:t>
      </w:r>
    </w:p>
    <w:p w14:paraId="591BEC25" w14:textId="6A1B74D4" w:rsidR="003C3C30" w:rsidRPr="007542B3" w:rsidRDefault="00E47361" w:rsidP="00FE3160">
      <w:pPr>
        <w:pStyle w:val="Level1"/>
        <w:numPr>
          <w:ilvl w:val="0"/>
          <w:numId w:val="0"/>
        </w:numPr>
        <w:ind w:left="426" w:hanging="426"/>
        <w:rPr>
          <w:sz w:val="22"/>
        </w:rPr>
      </w:pPr>
      <w:r w:rsidRPr="007542B3">
        <w:rPr>
          <w:sz w:val="22"/>
        </w:rPr>
        <w:t>5.1</w:t>
      </w:r>
      <w:r w:rsidRPr="007542B3">
        <w:rPr>
          <w:sz w:val="22"/>
        </w:rPr>
        <w:tab/>
      </w:r>
      <w:r w:rsidR="003C3C30" w:rsidRPr="007542B3">
        <w:rPr>
          <w:sz w:val="22"/>
        </w:rPr>
        <w:t xml:space="preserve">Discretionary succession is where there are no rights to succeed, but we </w:t>
      </w:r>
      <w:r w:rsidR="008720F3" w:rsidRPr="002408A8">
        <w:rPr>
          <w:sz w:val="22"/>
        </w:rPr>
        <w:t>decide</w:t>
      </w:r>
      <w:r w:rsidR="003C3C30" w:rsidRPr="007542B3">
        <w:rPr>
          <w:sz w:val="22"/>
        </w:rPr>
        <w:t xml:space="preserve"> to let someone have a new tenancy in the property because we consider the circumstances to be exceptional. </w:t>
      </w:r>
      <w:r w:rsidR="00DE2FC6" w:rsidRPr="007542B3">
        <w:rPr>
          <w:sz w:val="22"/>
        </w:rPr>
        <w:t>We are under no obligation to exercise discretion.</w:t>
      </w:r>
    </w:p>
    <w:p w14:paraId="1F3F1CCA" w14:textId="42CB3B03" w:rsidR="003C3C30" w:rsidRPr="007542B3" w:rsidRDefault="00E47361" w:rsidP="00FE3160">
      <w:pPr>
        <w:pStyle w:val="Level1"/>
        <w:numPr>
          <w:ilvl w:val="0"/>
          <w:numId w:val="0"/>
        </w:numPr>
        <w:ind w:left="426" w:hanging="426"/>
        <w:rPr>
          <w:sz w:val="22"/>
        </w:rPr>
      </w:pPr>
      <w:r w:rsidRPr="007542B3">
        <w:rPr>
          <w:sz w:val="22"/>
        </w:rPr>
        <w:t>5</w:t>
      </w:r>
      <w:r w:rsidR="00FE3160" w:rsidRPr="007542B3">
        <w:rPr>
          <w:sz w:val="22"/>
        </w:rPr>
        <w:t>.</w:t>
      </w:r>
      <w:r w:rsidRPr="007542B3">
        <w:rPr>
          <w:sz w:val="22"/>
        </w:rPr>
        <w:t>2</w:t>
      </w:r>
      <w:r w:rsidRPr="007542B3">
        <w:rPr>
          <w:sz w:val="22"/>
        </w:rPr>
        <w:tab/>
      </w:r>
      <w:r w:rsidR="003C3C30" w:rsidRPr="007542B3">
        <w:rPr>
          <w:sz w:val="22"/>
        </w:rPr>
        <w:t xml:space="preserve">In cases where the household member being considered for a discretionary offer of a tenancy is particularly vulnerable, we will give special consideration to the circumstances of the case </w:t>
      </w:r>
      <w:r w:rsidR="00485C7B" w:rsidRPr="007542B3">
        <w:rPr>
          <w:sz w:val="22"/>
        </w:rPr>
        <w:t>by carrying out a vul</w:t>
      </w:r>
      <w:r w:rsidR="004B1EE9" w:rsidRPr="007542B3">
        <w:rPr>
          <w:sz w:val="22"/>
        </w:rPr>
        <w:t>nerability impact assessment and reviewing supporting</w:t>
      </w:r>
      <w:r w:rsidR="00593762" w:rsidRPr="007542B3">
        <w:rPr>
          <w:sz w:val="22"/>
        </w:rPr>
        <w:t xml:space="preserve"> evidence.</w:t>
      </w:r>
      <w:r w:rsidR="004B1EE9" w:rsidRPr="007542B3">
        <w:rPr>
          <w:sz w:val="22"/>
        </w:rPr>
        <w:t xml:space="preserve"> </w:t>
      </w:r>
      <w:r w:rsidR="00C973A2" w:rsidRPr="007542B3">
        <w:rPr>
          <w:sz w:val="22"/>
        </w:rPr>
        <w:t>However</w:t>
      </w:r>
      <w:r w:rsidR="00766424" w:rsidRPr="007542B3">
        <w:rPr>
          <w:sz w:val="22"/>
        </w:rPr>
        <w:t>,</w:t>
      </w:r>
      <w:r w:rsidR="00C973A2" w:rsidRPr="007542B3">
        <w:rPr>
          <w:sz w:val="22"/>
        </w:rPr>
        <w:t xml:space="preserve"> vulnerability alone is not a reason for granting a tenancy over other </w:t>
      </w:r>
      <w:r w:rsidR="002C4E2C" w:rsidRPr="007542B3">
        <w:rPr>
          <w:sz w:val="22"/>
        </w:rPr>
        <w:t>households in need.</w:t>
      </w:r>
    </w:p>
    <w:p w14:paraId="0C572CD4" w14:textId="44825A17" w:rsidR="00915148" w:rsidRPr="007542B3" w:rsidRDefault="00C72E8C" w:rsidP="00FE3160">
      <w:pPr>
        <w:pStyle w:val="Level1"/>
        <w:numPr>
          <w:ilvl w:val="0"/>
          <w:numId w:val="0"/>
        </w:numPr>
        <w:ind w:left="426" w:hanging="426"/>
        <w:rPr>
          <w:sz w:val="22"/>
        </w:rPr>
      </w:pPr>
      <w:r w:rsidRPr="007542B3">
        <w:rPr>
          <w:sz w:val="22"/>
        </w:rPr>
        <w:t>5.3</w:t>
      </w:r>
      <w:r w:rsidRPr="007542B3">
        <w:rPr>
          <w:sz w:val="22"/>
        </w:rPr>
        <w:tab/>
      </w:r>
      <w:r w:rsidR="00915148" w:rsidRPr="007542B3">
        <w:rPr>
          <w:sz w:val="22"/>
        </w:rPr>
        <w:t xml:space="preserve">In all cases </w:t>
      </w:r>
      <w:r w:rsidR="00A67A63" w:rsidRPr="007542B3">
        <w:rPr>
          <w:sz w:val="22"/>
        </w:rPr>
        <w:t xml:space="preserve">the household member </w:t>
      </w:r>
      <w:r w:rsidRPr="007542B3">
        <w:rPr>
          <w:sz w:val="22"/>
        </w:rPr>
        <w:t xml:space="preserve">must demonstrate a housing need by being accepted onto the local authority </w:t>
      </w:r>
      <w:r w:rsidR="008720F3" w:rsidRPr="002408A8">
        <w:rPr>
          <w:sz w:val="22"/>
        </w:rPr>
        <w:t>h</w:t>
      </w:r>
      <w:r w:rsidRPr="007542B3">
        <w:rPr>
          <w:sz w:val="22"/>
        </w:rPr>
        <w:t xml:space="preserve">ousing </w:t>
      </w:r>
      <w:r w:rsidR="008720F3" w:rsidRPr="002408A8">
        <w:rPr>
          <w:sz w:val="22"/>
        </w:rPr>
        <w:t>r</w:t>
      </w:r>
      <w:r w:rsidRPr="007542B3">
        <w:rPr>
          <w:sz w:val="22"/>
        </w:rPr>
        <w:t>egister</w:t>
      </w:r>
      <w:r w:rsidR="008720F3" w:rsidRPr="002408A8">
        <w:rPr>
          <w:sz w:val="22"/>
        </w:rPr>
        <w:t>.</w:t>
      </w:r>
    </w:p>
    <w:p w14:paraId="53403797" w14:textId="4B98EB25" w:rsidR="003C3C30" w:rsidRPr="007542B3" w:rsidRDefault="00E47361" w:rsidP="00EC6B7B">
      <w:pPr>
        <w:pStyle w:val="Level1"/>
        <w:numPr>
          <w:ilvl w:val="0"/>
          <w:numId w:val="0"/>
        </w:numPr>
        <w:ind w:left="426" w:hanging="426"/>
        <w:rPr>
          <w:sz w:val="22"/>
        </w:rPr>
      </w:pPr>
      <w:r w:rsidRPr="007542B3">
        <w:rPr>
          <w:sz w:val="22"/>
        </w:rPr>
        <w:t>5.</w:t>
      </w:r>
      <w:r w:rsidR="00AF7DC6" w:rsidRPr="007542B3">
        <w:rPr>
          <w:sz w:val="22"/>
        </w:rPr>
        <w:t xml:space="preserve">4 </w:t>
      </w:r>
      <w:r w:rsidR="00EC6B7B" w:rsidRPr="007542B3">
        <w:rPr>
          <w:sz w:val="22"/>
        </w:rPr>
        <w:tab/>
      </w:r>
      <w:r w:rsidR="003C3C30" w:rsidRPr="007542B3">
        <w:rPr>
          <w:sz w:val="22"/>
        </w:rPr>
        <w:t>Examples of the factors that we may take into account about the applicant when making our   decision may include, but will not be limited to the following:</w:t>
      </w:r>
    </w:p>
    <w:p w14:paraId="257D431F" w14:textId="25966E75" w:rsidR="00E6061A" w:rsidRPr="007542B3" w:rsidRDefault="00E6061A"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Previous successions</w:t>
      </w:r>
      <w:r w:rsidR="008720F3" w:rsidRPr="002408A8">
        <w:rPr>
          <w:rFonts w:ascii="Arial" w:hAnsi="Arial" w:cs="Arial"/>
          <w:sz w:val="22"/>
        </w:rPr>
        <w:t>.</w:t>
      </w:r>
    </w:p>
    <w:p w14:paraId="61A17D43" w14:textId="3867E841" w:rsidR="003C3C30" w:rsidRPr="007542B3" w:rsidRDefault="003C3C30"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How long they have lived at the home</w:t>
      </w:r>
      <w:r w:rsidR="008720F3" w:rsidRPr="002408A8">
        <w:rPr>
          <w:rFonts w:ascii="Arial" w:hAnsi="Arial" w:cs="Arial"/>
          <w:sz w:val="22"/>
        </w:rPr>
        <w:t>.</w:t>
      </w:r>
    </w:p>
    <w:p w14:paraId="0B4F5247" w14:textId="6CD7B8EA" w:rsidR="003C3C30" w:rsidRPr="007542B3" w:rsidRDefault="003C3C30"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Their relationship to the deceased tenant</w:t>
      </w:r>
      <w:r w:rsidR="00116FDC" w:rsidRPr="007542B3">
        <w:rPr>
          <w:rFonts w:ascii="Arial" w:hAnsi="Arial" w:cs="Arial"/>
          <w:sz w:val="22"/>
        </w:rPr>
        <w:t xml:space="preserve"> or any guardianship of the deceased tenant</w:t>
      </w:r>
      <w:r w:rsidR="008720F3" w:rsidRPr="002408A8">
        <w:rPr>
          <w:rFonts w:ascii="Arial" w:hAnsi="Arial" w:cs="Arial"/>
          <w:sz w:val="22"/>
        </w:rPr>
        <w:t>’</w:t>
      </w:r>
      <w:r w:rsidR="00116FDC" w:rsidRPr="007542B3">
        <w:rPr>
          <w:rFonts w:ascii="Arial" w:hAnsi="Arial" w:cs="Arial"/>
          <w:sz w:val="22"/>
        </w:rPr>
        <w:t>s children</w:t>
      </w:r>
      <w:r w:rsidR="008720F3" w:rsidRPr="002408A8">
        <w:rPr>
          <w:rFonts w:ascii="Arial" w:hAnsi="Arial" w:cs="Arial"/>
          <w:sz w:val="22"/>
        </w:rPr>
        <w:t>.</w:t>
      </w:r>
    </w:p>
    <w:p w14:paraId="7D142696" w14:textId="778D462E" w:rsidR="003C3C30" w:rsidRPr="007542B3" w:rsidRDefault="003C3C30"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lastRenderedPageBreak/>
        <w:t>Their housing needs</w:t>
      </w:r>
      <w:r w:rsidR="00550DF9" w:rsidRPr="007542B3">
        <w:rPr>
          <w:rFonts w:ascii="Arial" w:hAnsi="Arial" w:cs="Arial"/>
          <w:sz w:val="22"/>
        </w:rPr>
        <w:t>, medical needs and vulnerabilities</w:t>
      </w:r>
      <w:r w:rsidR="008720F3" w:rsidRPr="002408A8">
        <w:rPr>
          <w:rFonts w:ascii="Arial" w:hAnsi="Arial" w:cs="Arial"/>
          <w:sz w:val="22"/>
        </w:rPr>
        <w:t>.</w:t>
      </w:r>
    </w:p>
    <w:p w14:paraId="6869AB72" w14:textId="0CF46C97" w:rsidR="00A47251" w:rsidRPr="007542B3" w:rsidRDefault="00EF19E6"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 xml:space="preserve">The rent payable is affordable (either because they can directly afford the rent, or they would be entitled to sufficient Housing Benefit or Universal Credit). </w:t>
      </w:r>
    </w:p>
    <w:p w14:paraId="09193C8F" w14:textId="7F557991" w:rsidR="003C3C30" w:rsidRPr="007542B3" w:rsidRDefault="00A47251"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U</w:t>
      </w:r>
      <w:r w:rsidR="00EF19E6" w:rsidRPr="007542B3">
        <w:rPr>
          <w:rFonts w:ascii="Arial" w:hAnsi="Arial" w:cs="Arial"/>
          <w:sz w:val="22"/>
        </w:rPr>
        <w:t xml:space="preserve">se and occupation/mesne profit charges that has been set up </w:t>
      </w:r>
      <w:r w:rsidRPr="007542B3">
        <w:rPr>
          <w:rFonts w:ascii="Arial" w:hAnsi="Arial" w:cs="Arial"/>
          <w:sz w:val="22"/>
        </w:rPr>
        <w:t>whilst making our decision are paid</w:t>
      </w:r>
      <w:r w:rsidR="00EF19E6" w:rsidRPr="007542B3">
        <w:rPr>
          <w:rFonts w:ascii="Arial" w:hAnsi="Arial" w:cs="Arial"/>
          <w:sz w:val="22"/>
        </w:rPr>
        <w:t>.</w:t>
      </w:r>
    </w:p>
    <w:p w14:paraId="273FC1FE" w14:textId="6A2E59E6" w:rsidR="007768E7" w:rsidRPr="007542B3" w:rsidRDefault="007768E7"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Throughout the tenancy, the property has been kept in a clean and well-maintained condition and there were no complaints of anti-social behaviour or other breaches of tenancy against the tenant or any member of their household.</w:t>
      </w:r>
    </w:p>
    <w:p w14:paraId="0907361F" w14:textId="0D422741" w:rsidR="00550DF9" w:rsidRPr="007542B3" w:rsidRDefault="00550DF9" w:rsidP="001B02CF">
      <w:pPr>
        <w:pStyle w:val="ShgBodySubnumberingLv1"/>
        <w:numPr>
          <w:ilvl w:val="0"/>
          <w:numId w:val="10"/>
        </w:numPr>
        <w:spacing w:after="0"/>
        <w:ind w:hanging="357"/>
        <w:rPr>
          <w:rFonts w:ascii="Arial" w:hAnsi="Arial" w:cs="Arial"/>
          <w:sz w:val="22"/>
        </w:rPr>
      </w:pPr>
      <w:r w:rsidRPr="007542B3">
        <w:rPr>
          <w:rFonts w:ascii="Arial" w:hAnsi="Arial" w:cs="Arial"/>
          <w:sz w:val="22"/>
        </w:rPr>
        <w:t>Property type</w:t>
      </w:r>
      <w:r w:rsidR="0013034B" w:rsidRPr="007542B3">
        <w:rPr>
          <w:rFonts w:ascii="Arial" w:hAnsi="Arial" w:cs="Arial"/>
          <w:sz w:val="22"/>
        </w:rPr>
        <w:t xml:space="preserve"> </w:t>
      </w:r>
      <w:r w:rsidR="008720F3" w:rsidRPr="002408A8">
        <w:rPr>
          <w:rFonts w:ascii="Arial" w:hAnsi="Arial" w:cs="Arial"/>
          <w:sz w:val="22"/>
        </w:rPr>
        <w:t>and</w:t>
      </w:r>
      <w:r w:rsidR="0013034B" w:rsidRPr="007542B3">
        <w:rPr>
          <w:rFonts w:ascii="Arial" w:hAnsi="Arial" w:cs="Arial"/>
          <w:sz w:val="22"/>
        </w:rPr>
        <w:t xml:space="preserve"> demand for this type of accommodation</w:t>
      </w:r>
      <w:r w:rsidR="008720F3" w:rsidRPr="002408A8">
        <w:rPr>
          <w:rFonts w:ascii="Arial" w:hAnsi="Arial" w:cs="Arial"/>
          <w:sz w:val="22"/>
        </w:rPr>
        <w:t>.</w:t>
      </w:r>
    </w:p>
    <w:p w14:paraId="2834FB5D" w14:textId="77777777" w:rsidR="003C3C30" w:rsidRPr="007542B3" w:rsidRDefault="003C3C30" w:rsidP="003C3C30">
      <w:pPr>
        <w:pStyle w:val="ShgBodySubnumberingLv1"/>
        <w:numPr>
          <w:ilvl w:val="0"/>
          <w:numId w:val="0"/>
        </w:numPr>
        <w:spacing w:after="0"/>
        <w:ind w:left="1809"/>
        <w:rPr>
          <w:rFonts w:ascii="Arial" w:hAnsi="Arial" w:cs="Arial"/>
          <w:sz w:val="22"/>
        </w:rPr>
      </w:pPr>
    </w:p>
    <w:p w14:paraId="139BE838" w14:textId="1971E044" w:rsidR="003C3C30" w:rsidRPr="007542B3" w:rsidRDefault="00E47361" w:rsidP="00EC6B7B">
      <w:pPr>
        <w:pStyle w:val="Level1"/>
        <w:numPr>
          <w:ilvl w:val="0"/>
          <w:numId w:val="0"/>
        </w:numPr>
        <w:ind w:left="426" w:hanging="426"/>
        <w:rPr>
          <w:sz w:val="22"/>
        </w:rPr>
      </w:pPr>
      <w:r w:rsidRPr="007542B3">
        <w:rPr>
          <w:sz w:val="22"/>
        </w:rPr>
        <w:t>5.</w:t>
      </w:r>
      <w:r w:rsidR="004361DA" w:rsidRPr="007542B3">
        <w:rPr>
          <w:sz w:val="22"/>
        </w:rPr>
        <w:t xml:space="preserve">5 </w:t>
      </w:r>
      <w:r w:rsidR="00EC6B7B" w:rsidRPr="007542B3">
        <w:rPr>
          <w:sz w:val="22"/>
        </w:rPr>
        <w:tab/>
      </w:r>
      <w:r w:rsidR="003C3C30" w:rsidRPr="007542B3">
        <w:rPr>
          <w:sz w:val="22"/>
        </w:rPr>
        <w:t>Discretionary ‘succession’ is not a legal succession and in these cases</w:t>
      </w:r>
      <w:r w:rsidR="00586244" w:rsidRPr="007542B3">
        <w:rPr>
          <w:sz w:val="22"/>
        </w:rPr>
        <w:t>,</w:t>
      </w:r>
      <w:r w:rsidR="003C3C30" w:rsidRPr="007542B3">
        <w:rPr>
          <w:sz w:val="22"/>
        </w:rPr>
        <w:t xml:space="preserve"> we will issue a new tenancy agreement in line with our Ten</w:t>
      </w:r>
      <w:r w:rsidR="00E80ABA" w:rsidRPr="007542B3">
        <w:rPr>
          <w:sz w:val="22"/>
        </w:rPr>
        <w:t>ure</w:t>
      </w:r>
      <w:r w:rsidR="003C3C30" w:rsidRPr="007542B3">
        <w:rPr>
          <w:sz w:val="22"/>
        </w:rPr>
        <w:t xml:space="preserve"> </w:t>
      </w:r>
      <w:r w:rsidR="00EC6B7B" w:rsidRPr="007542B3">
        <w:rPr>
          <w:sz w:val="22"/>
        </w:rPr>
        <w:t xml:space="preserve">and </w:t>
      </w:r>
      <w:r w:rsidR="00BC4E85" w:rsidRPr="007542B3">
        <w:rPr>
          <w:sz w:val="22"/>
        </w:rPr>
        <w:t>Allocations</w:t>
      </w:r>
      <w:r w:rsidR="00EC6B7B" w:rsidRPr="007542B3">
        <w:rPr>
          <w:sz w:val="22"/>
        </w:rPr>
        <w:t xml:space="preserve"> policies.</w:t>
      </w:r>
      <w:r w:rsidR="003C3C30" w:rsidRPr="007542B3">
        <w:rPr>
          <w:sz w:val="22"/>
        </w:rPr>
        <w:t xml:space="preserve"> </w:t>
      </w:r>
    </w:p>
    <w:p w14:paraId="06F92D68" w14:textId="3254321A" w:rsidR="00103ED6" w:rsidRPr="007542B3" w:rsidRDefault="002F4D24" w:rsidP="00EC6B7B">
      <w:pPr>
        <w:pStyle w:val="Level1"/>
        <w:numPr>
          <w:ilvl w:val="0"/>
          <w:numId w:val="0"/>
        </w:numPr>
        <w:ind w:left="426" w:hanging="426"/>
        <w:rPr>
          <w:sz w:val="22"/>
        </w:rPr>
      </w:pPr>
      <w:r w:rsidRPr="007542B3">
        <w:rPr>
          <w:sz w:val="22"/>
        </w:rPr>
        <w:t>5.</w:t>
      </w:r>
      <w:r w:rsidR="001D216E" w:rsidRPr="007542B3">
        <w:rPr>
          <w:sz w:val="22"/>
        </w:rPr>
        <w:t>6</w:t>
      </w:r>
      <w:r w:rsidRPr="007542B3">
        <w:rPr>
          <w:sz w:val="22"/>
        </w:rPr>
        <w:tab/>
        <w:t xml:space="preserve">We will generally not allow a discretionary </w:t>
      </w:r>
      <w:r w:rsidR="000541E4" w:rsidRPr="007542B3">
        <w:rPr>
          <w:sz w:val="22"/>
        </w:rPr>
        <w:t>tenancy</w:t>
      </w:r>
      <w:r w:rsidRPr="007542B3">
        <w:rPr>
          <w:sz w:val="22"/>
        </w:rPr>
        <w:t xml:space="preserve">, where this would lead to under occupation as determined by our </w:t>
      </w:r>
      <w:r w:rsidR="00BC4E85" w:rsidRPr="007542B3">
        <w:rPr>
          <w:sz w:val="22"/>
        </w:rPr>
        <w:t>Allocations</w:t>
      </w:r>
      <w:r w:rsidRPr="007542B3">
        <w:rPr>
          <w:sz w:val="22"/>
        </w:rPr>
        <w:t xml:space="preserve"> Policy or relevant lettings p</w:t>
      </w:r>
      <w:r w:rsidR="00832CED" w:rsidRPr="007542B3">
        <w:rPr>
          <w:sz w:val="22"/>
        </w:rPr>
        <w:t>lan</w:t>
      </w:r>
      <w:r w:rsidRPr="007542B3">
        <w:rPr>
          <w:sz w:val="22"/>
        </w:rPr>
        <w:t xml:space="preserve"> for the property.</w:t>
      </w:r>
    </w:p>
    <w:p w14:paraId="5F28601E" w14:textId="4FA18A71" w:rsidR="003C3C30" w:rsidRPr="002408A8" w:rsidRDefault="00E47361" w:rsidP="00EC6B7B">
      <w:pPr>
        <w:pStyle w:val="Level1"/>
        <w:numPr>
          <w:ilvl w:val="0"/>
          <w:numId w:val="0"/>
        </w:numPr>
        <w:ind w:left="426" w:hanging="426"/>
        <w:rPr>
          <w:sz w:val="22"/>
        </w:rPr>
      </w:pPr>
      <w:r w:rsidRPr="007542B3">
        <w:rPr>
          <w:sz w:val="22"/>
        </w:rPr>
        <w:t>5.</w:t>
      </w:r>
      <w:r w:rsidR="001D216E" w:rsidRPr="007542B3">
        <w:rPr>
          <w:sz w:val="22"/>
        </w:rPr>
        <w:t>7</w:t>
      </w:r>
      <w:r w:rsidR="00EC6B7B" w:rsidRPr="007542B3">
        <w:rPr>
          <w:sz w:val="22"/>
        </w:rPr>
        <w:tab/>
        <w:t xml:space="preserve"> </w:t>
      </w:r>
      <w:r w:rsidR="003C3C30" w:rsidRPr="007542B3">
        <w:rPr>
          <w:sz w:val="22"/>
        </w:rPr>
        <w:t xml:space="preserve">If the decision is made to offer a discretionary tenancy, it may be offered at another property. </w:t>
      </w:r>
      <w:r w:rsidR="002F4D24" w:rsidRPr="007542B3">
        <w:rPr>
          <w:sz w:val="22"/>
        </w:rPr>
        <w:t>W</w:t>
      </w:r>
      <w:r w:rsidR="003C3C30" w:rsidRPr="007542B3">
        <w:rPr>
          <w:sz w:val="22"/>
        </w:rPr>
        <w:t xml:space="preserve">e will try to find ‘suitable accommodation’. If suitable accommodation is not immediately available, an applicant may be placed on the </w:t>
      </w:r>
      <w:r w:rsidR="00485E16" w:rsidRPr="007542B3">
        <w:rPr>
          <w:sz w:val="22"/>
        </w:rPr>
        <w:t>direct let</w:t>
      </w:r>
      <w:r w:rsidR="00D15E56" w:rsidRPr="007542B3">
        <w:rPr>
          <w:sz w:val="22"/>
        </w:rPr>
        <w:t xml:space="preserve"> list</w:t>
      </w:r>
      <w:r w:rsidR="003C3C30" w:rsidRPr="007542B3">
        <w:rPr>
          <w:sz w:val="22"/>
        </w:rPr>
        <w:t xml:space="preserve"> until a suitable property becomes available. If a decision is made to offer a discretionary tenancy at another property, only one such offer will be made. If the applicant declines that offer, no further offers will be </w:t>
      </w:r>
      <w:r w:rsidR="006E3BE3" w:rsidRPr="007542B3">
        <w:rPr>
          <w:sz w:val="22"/>
        </w:rPr>
        <w:t>made,</w:t>
      </w:r>
      <w:r w:rsidR="003C3C30" w:rsidRPr="002408A8">
        <w:rPr>
          <w:sz w:val="22"/>
        </w:rPr>
        <w:t xml:space="preserve"> and steps will be taken to recover possession of the deceased tenant’s property. </w:t>
      </w:r>
      <w:r w:rsidR="00EC6B7B" w:rsidRPr="002408A8">
        <w:rPr>
          <w:sz w:val="22"/>
        </w:rPr>
        <w:tab/>
      </w:r>
    </w:p>
    <w:p w14:paraId="6779D419" w14:textId="0C4DA9B3" w:rsidR="00E47361" w:rsidRPr="007542B3" w:rsidRDefault="00E47361" w:rsidP="00EC6B7B">
      <w:pPr>
        <w:pStyle w:val="Level1"/>
        <w:numPr>
          <w:ilvl w:val="0"/>
          <w:numId w:val="0"/>
        </w:numPr>
        <w:ind w:left="426" w:hanging="426"/>
        <w:rPr>
          <w:sz w:val="22"/>
        </w:rPr>
      </w:pPr>
      <w:r w:rsidRPr="007542B3">
        <w:rPr>
          <w:sz w:val="22"/>
        </w:rPr>
        <w:t>5.</w:t>
      </w:r>
      <w:r w:rsidR="001D216E" w:rsidRPr="007542B3">
        <w:rPr>
          <w:sz w:val="22"/>
        </w:rPr>
        <w:t>8</w:t>
      </w:r>
      <w:r w:rsidRPr="007542B3">
        <w:rPr>
          <w:sz w:val="22"/>
        </w:rPr>
        <w:tab/>
        <w:t xml:space="preserve">The Head of Housing </w:t>
      </w:r>
      <w:r w:rsidR="00391CA9" w:rsidRPr="007542B3">
        <w:rPr>
          <w:sz w:val="22"/>
        </w:rPr>
        <w:t>has</w:t>
      </w:r>
      <w:r w:rsidRPr="007542B3">
        <w:rPr>
          <w:sz w:val="22"/>
        </w:rPr>
        <w:t xml:space="preserve"> the authority to agree discretionary tenanc</w:t>
      </w:r>
      <w:r w:rsidR="00594756" w:rsidRPr="007542B3">
        <w:rPr>
          <w:sz w:val="22"/>
        </w:rPr>
        <w:t>ies.</w:t>
      </w:r>
    </w:p>
    <w:p w14:paraId="030746F0" w14:textId="5B93A485" w:rsidR="00482889" w:rsidRPr="007542B3" w:rsidRDefault="00482889" w:rsidP="00482889">
      <w:pPr>
        <w:pStyle w:val="Level1"/>
        <w:keepNext/>
        <w:numPr>
          <w:ilvl w:val="0"/>
          <w:numId w:val="2"/>
        </w:numPr>
        <w:ind w:left="426" w:hanging="710"/>
        <w:rPr>
          <w:rStyle w:val="Level1asheadingtext"/>
          <w:sz w:val="22"/>
        </w:rPr>
      </w:pPr>
      <w:r w:rsidRPr="007542B3">
        <w:rPr>
          <w:rStyle w:val="Level1asheadingtext"/>
          <w:sz w:val="22"/>
        </w:rPr>
        <w:t>Multiple Successors</w:t>
      </w:r>
    </w:p>
    <w:p w14:paraId="2169B5F4" w14:textId="77777777" w:rsidR="00482889" w:rsidRPr="007542B3" w:rsidRDefault="00482889" w:rsidP="00ED4BE7">
      <w:pPr>
        <w:pStyle w:val="Level1"/>
        <w:numPr>
          <w:ilvl w:val="0"/>
          <w:numId w:val="0"/>
        </w:numPr>
        <w:ind w:left="426"/>
        <w:rPr>
          <w:sz w:val="22"/>
        </w:rPr>
      </w:pPr>
      <w:r w:rsidRPr="007542B3">
        <w:rPr>
          <w:sz w:val="22"/>
        </w:rPr>
        <w:t xml:space="preserve">Where more than one person claims to be eligible to succeed, we will require them to resolve between themselves who will succeed the tenancy. If they are unable to: </w:t>
      </w:r>
    </w:p>
    <w:p w14:paraId="6F76245C" w14:textId="566A570F" w:rsidR="00482889" w:rsidRPr="007542B3" w:rsidRDefault="00482889" w:rsidP="00ED4BE7">
      <w:pPr>
        <w:pStyle w:val="Level1"/>
        <w:numPr>
          <w:ilvl w:val="0"/>
          <w:numId w:val="0"/>
        </w:numPr>
        <w:ind w:left="852" w:hanging="426"/>
        <w:rPr>
          <w:sz w:val="22"/>
        </w:rPr>
      </w:pPr>
      <w:r w:rsidRPr="007542B3">
        <w:rPr>
          <w:sz w:val="22"/>
        </w:rPr>
        <w:t xml:space="preserve">• </w:t>
      </w:r>
      <w:r w:rsidR="00421844" w:rsidRPr="007542B3">
        <w:rPr>
          <w:sz w:val="22"/>
        </w:rPr>
        <w:tab/>
      </w:r>
      <w:r w:rsidRPr="007542B3">
        <w:rPr>
          <w:sz w:val="22"/>
        </w:rPr>
        <w:t>For assured tenants whose tenancy was granted prior to 1st April 2012, it depends on the</w:t>
      </w:r>
      <w:r w:rsidR="00421844" w:rsidRPr="007542B3">
        <w:rPr>
          <w:sz w:val="22"/>
        </w:rPr>
        <w:t xml:space="preserve"> </w:t>
      </w:r>
      <w:r w:rsidRPr="007542B3">
        <w:rPr>
          <w:sz w:val="22"/>
        </w:rPr>
        <w:t xml:space="preserve">provisions of the tenancy agreement as these determine who decides. It will usually be us who decides if the applicants cannot agree between them. </w:t>
      </w:r>
    </w:p>
    <w:p w14:paraId="225DCBA5" w14:textId="0C1D7CA0" w:rsidR="00482889" w:rsidRPr="007542B3" w:rsidRDefault="00482889" w:rsidP="00ED4BE7">
      <w:pPr>
        <w:pStyle w:val="Level1"/>
        <w:numPr>
          <w:ilvl w:val="0"/>
          <w:numId w:val="0"/>
        </w:numPr>
        <w:ind w:left="852" w:hanging="426"/>
        <w:rPr>
          <w:sz w:val="22"/>
        </w:rPr>
      </w:pPr>
      <w:r w:rsidRPr="007542B3">
        <w:rPr>
          <w:sz w:val="22"/>
        </w:rPr>
        <w:t xml:space="preserve">• </w:t>
      </w:r>
      <w:r w:rsidR="00421844" w:rsidRPr="007542B3">
        <w:rPr>
          <w:sz w:val="22"/>
        </w:rPr>
        <w:tab/>
      </w:r>
      <w:r w:rsidRPr="007542B3">
        <w:rPr>
          <w:sz w:val="22"/>
        </w:rPr>
        <w:t xml:space="preserve">For assured tenants whose tenancy was granted on or after 1st April 2012, they must apply to Court if they cannot agree. </w:t>
      </w:r>
    </w:p>
    <w:p w14:paraId="02022BEA" w14:textId="035A33EA" w:rsidR="00482889" w:rsidRPr="007542B3" w:rsidRDefault="00482889" w:rsidP="00ED4BE7">
      <w:pPr>
        <w:pStyle w:val="Level1"/>
        <w:numPr>
          <w:ilvl w:val="0"/>
          <w:numId w:val="0"/>
        </w:numPr>
        <w:ind w:left="426"/>
        <w:rPr>
          <w:sz w:val="22"/>
        </w:rPr>
      </w:pPr>
      <w:r w:rsidRPr="007542B3">
        <w:rPr>
          <w:sz w:val="22"/>
        </w:rPr>
        <w:t>We will not create a joint tenancy on succession.</w:t>
      </w:r>
    </w:p>
    <w:p w14:paraId="73213006" w14:textId="3174B8F2" w:rsidR="00980E84" w:rsidRPr="007542B3" w:rsidRDefault="00980E84" w:rsidP="004A0D53">
      <w:pPr>
        <w:pStyle w:val="Level1"/>
        <w:keepNext/>
        <w:numPr>
          <w:ilvl w:val="0"/>
          <w:numId w:val="2"/>
        </w:numPr>
        <w:ind w:left="426" w:hanging="710"/>
        <w:rPr>
          <w:rStyle w:val="Level1asheadingtext"/>
          <w:sz w:val="22"/>
        </w:rPr>
      </w:pPr>
      <w:r w:rsidRPr="007542B3">
        <w:rPr>
          <w:rStyle w:val="Level1asheadingtext"/>
          <w:sz w:val="22"/>
        </w:rPr>
        <w:t>Inheriting a Tenancy</w:t>
      </w:r>
    </w:p>
    <w:p w14:paraId="033B7792" w14:textId="2D670453" w:rsidR="003C08EA" w:rsidRPr="007542B3" w:rsidRDefault="00482889" w:rsidP="00026776">
      <w:pPr>
        <w:pStyle w:val="Level1"/>
        <w:numPr>
          <w:ilvl w:val="0"/>
          <w:numId w:val="0"/>
        </w:numPr>
        <w:ind w:left="426" w:hanging="426"/>
        <w:rPr>
          <w:sz w:val="22"/>
        </w:rPr>
      </w:pPr>
      <w:r w:rsidRPr="007542B3">
        <w:rPr>
          <w:sz w:val="22"/>
        </w:rPr>
        <w:t>7</w:t>
      </w:r>
      <w:r w:rsidR="00F746C1" w:rsidRPr="007542B3">
        <w:rPr>
          <w:sz w:val="22"/>
        </w:rPr>
        <w:t>.1</w:t>
      </w:r>
      <w:r w:rsidR="00F746C1" w:rsidRPr="007542B3">
        <w:rPr>
          <w:sz w:val="22"/>
        </w:rPr>
        <w:tab/>
      </w:r>
      <w:r w:rsidR="003C08EA" w:rsidRPr="007542B3">
        <w:rPr>
          <w:sz w:val="22"/>
        </w:rPr>
        <w:t xml:space="preserve">In addition to the above rights, it is possible for an assured tenancy to pass under a tenant’s Will or, if they die without leaving a Will, through intestacy rules. This is because a tenancy is an interest in land. If the beneficiary (i.e. the person to whom the tenancy passes under the Will) lived in the property as their only or main home at the time of death, </w:t>
      </w:r>
      <w:r w:rsidR="003C08EA" w:rsidRPr="007542B3">
        <w:rPr>
          <w:sz w:val="22"/>
        </w:rPr>
        <w:lastRenderedPageBreak/>
        <w:t>they will inherit an assured tenancy. Ground 7 of Schedule 2 of the 1988 Act exists for these circumstances.</w:t>
      </w:r>
    </w:p>
    <w:p w14:paraId="2103BC73" w14:textId="0733010D" w:rsidR="009C2296" w:rsidRPr="007542B3" w:rsidRDefault="00482889" w:rsidP="00026776">
      <w:pPr>
        <w:pStyle w:val="Level1"/>
        <w:numPr>
          <w:ilvl w:val="0"/>
          <w:numId w:val="0"/>
        </w:numPr>
        <w:ind w:left="426" w:hanging="426"/>
        <w:rPr>
          <w:sz w:val="22"/>
        </w:rPr>
      </w:pPr>
      <w:r w:rsidRPr="007542B3">
        <w:rPr>
          <w:sz w:val="22"/>
        </w:rPr>
        <w:t>7</w:t>
      </w:r>
      <w:r w:rsidR="00026776" w:rsidRPr="007542B3">
        <w:rPr>
          <w:sz w:val="22"/>
        </w:rPr>
        <w:t>.2</w:t>
      </w:r>
      <w:r w:rsidR="00026776" w:rsidRPr="007542B3">
        <w:rPr>
          <w:sz w:val="22"/>
        </w:rPr>
        <w:tab/>
      </w:r>
      <w:r w:rsidR="009C2296" w:rsidRPr="007542B3">
        <w:rPr>
          <w:sz w:val="22"/>
        </w:rPr>
        <w:t>If someone claims to have inherited a tenancy or we realise that an inheritance situation arises, we should ask them for a copy of the Will and Grant of Probate.</w:t>
      </w:r>
    </w:p>
    <w:p w14:paraId="309D7905" w14:textId="39043DDD" w:rsidR="00AD5A32" w:rsidRPr="007542B3" w:rsidRDefault="00482889" w:rsidP="00026776">
      <w:pPr>
        <w:pStyle w:val="Level1"/>
        <w:numPr>
          <w:ilvl w:val="0"/>
          <w:numId w:val="0"/>
        </w:numPr>
        <w:ind w:left="426" w:hanging="426"/>
        <w:rPr>
          <w:sz w:val="22"/>
        </w:rPr>
      </w:pPr>
      <w:r w:rsidRPr="007542B3">
        <w:rPr>
          <w:sz w:val="22"/>
        </w:rPr>
        <w:t>7</w:t>
      </w:r>
      <w:r w:rsidR="005248CD" w:rsidRPr="007542B3">
        <w:rPr>
          <w:sz w:val="22"/>
        </w:rPr>
        <w:t>.3</w:t>
      </w:r>
      <w:r w:rsidR="005248CD" w:rsidRPr="007542B3">
        <w:rPr>
          <w:sz w:val="22"/>
        </w:rPr>
        <w:tab/>
      </w:r>
      <w:r w:rsidR="005B5C75" w:rsidRPr="007542B3">
        <w:rPr>
          <w:sz w:val="22"/>
        </w:rPr>
        <w:t xml:space="preserve">We may seek possession of a property where </w:t>
      </w:r>
      <w:r w:rsidR="00D2602E" w:rsidRPr="007542B3">
        <w:rPr>
          <w:sz w:val="22"/>
        </w:rPr>
        <w:t>a tenancy is devolved through a will or intestacy</w:t>
      </w:r>
      <w:r w:rsidR="005B5C75" w:rsidRPr="007542B3">
        <w:rPr>
          <w:sz w:val="22"/>
        </w:rPr>
        <w:t xml:space="preserve">. </w:t>
      </w:r>
      <w:r w:rsidR="00E94742" w:rsidRPr="007542B3">
        <w:rPr>
          <w:sz w:val="22"/>
        </w:rPr>
        <w:t>In these circumstances legal advice will be sought.</w:t>
      </w:r>
    </w:p>
    <w:p w14:paraId="0D65BC0C" w14:textId="1232DFCC" w:rsidR="00107103" w:rsidRPr="007542B3" w:rsidRDefault="00107103" w:rsidP="007542B3">
      <w:pPr>
        <w:pStyle w:val="Level1"/>
        <w:keepNext/>
        <w:numPr>
          <w:ilvl w:val="0"/>
          <w:numId w:val="2"/>
        </w:numPr>
        <w:ind w:left="426" w:hanging="710"/>
        <w:rPr>
          <w:rStyle w:val="Level1asheadingtext"/>
          <w:sz w:val="22"/>
        </w:rPr>
      </w:pPr>
      <w:r w:rsidRPr="007542B3">
        <w:rPr>
          <w:rStyle w:val="Level1asheadingtext"/>
          <w:sz w:val="22"/>
        </w:rPr>
        <w:t>Proof of Residency/Death of Tenan</w:t>
      </w:r>
      <w:r w:rsidR="001F5719">
        <w:rPr>
          <w:rStyle w:val="Level1asheadingtext"/>
          <w:sz w:val="22"/>
        </w:rPr>
        <w:t>t</w:t>
      </w:r>
    </w:p>
    <w:p w14:paraId="12EBBFB3" w14:textId="162C0779" w:rsidR="00107103" w:rsidRPr="007542B3" w:rsidRDefault="00107103" w:rsidP="007542B3">
      <w:pPr>
        <w:pStyle w:val="Level1"/>
        <w:numPr>
          <w:ilvl w:val="0"/>
          <w:numId w:val="0"/>
        </w:numPr>
        <w:ind w:left="426" w:hanging="426"/>
        <w:rPr>
          <w:sz w:val="22"/>
        </w:rPr>
      </w:pPr>
      <w:r w:rsidRPr="007542B3">
        <w:rPr>
          <w:sz w:val="22"/>
        </w:rPr>
        <w:t>8.1</w:t>
      </w:r>
      <w:r>
        <w:rPr>
          <w:sz w:val="22"/>
        </w:rPr>
        <w:tab/>
      </w:r>
      <w:r w:rsidRPr="007542B3">
        <w:rPr>
          <w:sz w:val="22"/>
        </w:rPr>
        <w:t xml:space="preserve"> We will require proof of residency for all succession cases, excluding survivorship, to confirm the identity of the person who is claiming succession, their relationship to the deceased, the length of residence with the tenant and, where a discretionary succession, evidence of their right to rent.  The onus is on the potential successor to provide a sufficient level of evidence. Documents should cover the entire qualifying period. </w:t>
      </w:r>
    </w:p>
    <w:p w14:paraId="408F939C" w14:textId="6614175E" w:rsidR="00107103" w:rsidRPr="007542B3" w:rsidRDefault="00107103" w:rsidP="007542B3">
      <w:pPr>
        <w:pStyle w:val="Level1"/>
        <w:numPr>
          <w:ilvl w:val="0"/>
          <w:numId w:val="0"/>
        </w:numPr>
        <w:ind w:left="426" w:hanging="426"/>
        <w:rPr>
          <w:sz w:val="22"/>
        </w:rPr>
      </w:pPr>
      <w:r w:rsidRPr="007542B3">
        <w:rPr>
          <w:sz w:val="22"/>
        </w:rPr>
        <w:t>8.2</w:t>
      </w:r>
      <w:r>
        <w:rPr>
          <w:sz w:val="22"/>
        </w:rPr>
        <w:t xml:space="preserve"> </w:t>
      </w:r>
      <w:r w:rsidRPr="007542B3">
        <w:rPr>
          <w:sz w:val="22"/>
        </w:rPr>
        <w:t xml:space="preserve">  We will require a copy of the death certificate for all succession cases, including survivorship.  </w:t>
      </w:r>
    </w:p>
    <w:p w14:paraId="3B8C3F20" w14:textId="3DE8FC58" w:rsidR="00216B4F" w:rsidRPr="007542B3" w:rsidRDefault="00482889" w:rsidP="00107103">
      <w:pPr>
        <w:pStyle w:val="Level1"/>
        <w:numPr>
          <w:ilvl w:val="0"/>
          <w:numId w:val="0"/>
        </w:numPr>
        <w:ind w:left="426" w:hanging="426"/>
        <w:rPr>
          <w:sz w:val="22"/>
        </w:rPr>
      </w:pPr>
      <w:r w:rsidRPr="007542B3">
        <w:rPr>
          <w:sz w:val="22"/>
        </w:rPr>
        <w:t>8</w:t>
      </w:r>
      <w:r w:rsidR="005248CD" w:rsidRPr="007542B3">
        <w:rPr>
          <w:sz w:val="22"/>
        </w:rPr>
        <w:t>.</w:t>
      </w:r>
      <w:r w:rsidR="00107103">
        <w:rPr>
          <w:sz w:val="22"/>
        </w:rPr>
        <w:t>3</w:t>
      </w:r>
      <w:r w:rsidR="005248CD" w:rsidRPr="007542B3">
        <w:rPr>
          <w:sz w:val="22"/>
        </w:rPr>
        <w:tab/>
      </w:r>
      <w:r w:rsidR="00216B4F" w:rsidRPr="007542B3">
        <w:rPr>
          <w:sz w:val="22"/>
        </w:rPr>
        <w:t>If the deceased tenant was claiming housing benefit, we will check that the council are aware if the person claiming succession was living there.</w:t>
      </w:r>
    </w:p>
    <w:p w14:paraId="3156BA1D" w14:textId="6E9D882D" w:rsidR="004B7A7D" w:rsidRPr="007542B3" w:rsidRDefault="00482889" w:rsidP="003F18C8">
      <w:pPr>
        <w:pStyle w:val="Level1"/>
        <w:numPr>
          <w:ilvl w:val="0"/>
          <w:numId w:val="0"/>
        </w:numPr>
        <w:ind w:left="426" w:hanging="426"/>
        <w:rPr>
          <w:sz w:val="22"/>
        </w:rPr>
      </w:pPr>
      <w:r w:rsidRPr="007542B3">
        <w:rPr>
          <w:sz w:val="22"/>
        </w:rPr>
        <w:t>8</w:t>
      </w:r>
      <w:r w:rsidR="003F18C8" w:rsidRPr="007542B3">
        <w:rPr>
          <w:sz w:val="22"/>
        </w:rPr>
        <w:t>.</w:t>
      </w:r>
      <w:r w:rsidR="007542B3">
        <w:rPr>
          <w:sz w:val="22"/>
        </w:rPr>
        <w:t>4</w:t>
      </w:r>
      <w:r w:rsidR="003F18C8" w:rsidRPr="007542B3">
        <w:rPr>
          <w:sz w:val="22"/>
        </w:rPr>
        <w:tab/>
      </w:r>
      <w:r w:rsidR="00A5279E" w:rsidRPr="007542B3">
        <w:rPr>
          <w:sz w:val="22"/>
        </w:rPr>
        <w:t xml:space="preserve">We may also conduct any other checks </w:t>
      </w:r>
      <w:r w:rsidR="00266BD8" w:rsidRPr="007542B3">
        <w:rPr>
          <w:sz w:val="22"/>
        </w:rPr>
        <w:t>we</w:t>
      </w:r>
      <w:r w:rsidR="00A5279E" w:rsidRPr="007542B3">
        <w:rPr>
          <w:sz w:val="22"/>
        </w:rPr>
        <w:t xml:space="preserve"> consider necessary to ascertain who was residing in the property in the qualifying period prior to the tenant’s death</w:t>
      </w:r>
      <w:r w:rsidR="005E1239" w:rsidRPr="007542B3">
        <w:rPr>
          <w:sz w:val="22"/>
        </w:rPr>
        <w:t xml:space="preserve">, to avoid fraudulent </w:t>
      </w:r>
      <w:r w:rsidR="003F18C8" w:rsidRPr="007542B3">
        <w:rPr>
          <w:sz w:val="22"/>
        </w:rPr>
        <w:t>claims for succession.</w:t>
      </w:r>
    </w:p>
    <w:p w14:paraId="6EB0F5E3" w14:textId="026782D3" w:rsidR="00E44328" w:rsidRPr="007542B3" w:rsidRDefault="00482889" w:rsidP="003F18C8">
      <w:pPr>
        <w:pStyle w:val="Level1"/>
        <w:numPr>
          <w:ilvl w:val="0"/>
          <w:numId w:val="0"/>
        </w:numPr>
        <w:ind w:left="426" w:hanging="426"/>
        <w:rPr>
          <w:sz w:val="22"/>
        </w:rPr>
      </w:pPr>
      <w:r w:rsidRPr="007542B3">
        <w:rPr>
          <w:sz w:val="22"/>
        </w:rPr>
        <w:t>8</w:t>
      </w:r>
      <w:r w:rsidR="00622E43" w:rsidRPr="007542B3">
        <w:rPr>
          <w:sz w:val="22"/>
        </w:rPr>
        <w:t>.</w:t>
      </w:r>
      <w:r w:rsidR="007542B3">
        <w:rPr>
          <w:sz w:val="22"/>
        </w:rPr>
        <w:t>5</w:t>
      </w:r>
      <w:r w:rsidR="00622E43" w:rsidRPr="007542B3">
        <w:rPr>
          <w:sz w:val="22"/>
        </w:rPr>
        <w:tab/>
      </w:r>
      <w:r w:rsidR="00E44328" w:rsidRPr="007542B3">
        <w:rPr>
          <w:sz w:val="22"/>
        </w:rPr>
        <w:t>If someone is a successor they will take on the same tenancy agreement as the tenant who has died</w:t>
      </w:r>
      <w:r w:rsidR="00C46BDD" w:rsidRPr="007542B3">
        <w:rPr>
          <w:sz w:val="22"/>
        </w:rPr>
        <w:t xml:space="preserve">, unless a new tenancy is granted.  </w:t>
      </w:r>
      <w:r w:rsidR="0030400C" w:rsidRPr="007542B3">
        <w:rPr>
          <w:sz w:val="22"/>
        </w:rPr>
        <w:t xml:space="preserve">Where </w:t>
      </w:r>
      <w:r w:rsidR="001F64C8" w:rsidRPr="007542B3">
        <w:rPr>
          <w:sz w:val="22"/>
        </w:rPr>
        <w:t xml:space="preserve">the same tenancy agreement is taken </w:t>
      </w:r>
      <w:r w:rsidR="00325EF9" w:rsidRPr="007542B3">
        <w:rPr>
          <w:sz w:val="22"/>
        </w:rPr>
        <w:t>on</w:t>
      </w:r>
      <w:r w:rsidR="001454A9" w:rsidRPr="007542B3">
        <w:rPr>
          <w:sz w:val="22"/>
        </w:rPr>
        <w:t>,</w:t>
      </w:r>
      <w:r w:rsidR="00325EF9" w:rsidRPr="007542B3">
        <w:rPr>
          <w:sz w:val="22"/>
        </w:rPr>
        <w:t xml:space="preserve"> this</w:t>
      </w:r>
      <w:r w:rsidR="00E44328" w:rsidRPr="007542B3">
        <w:rPr>
          <w:sz w:val="22"/>
        </w:rPr>
        <w:t xml:space="preserve"> means </w:t>
      </w:r>
      <w:r w:rsidR="001F64C8" w:rsidRPr="007542B3">
        <w:rPr>
          <w:sz w:val="22"/>
        </w:rPr>
        <w:t xml:space="preserve">the successor </w:t>
      </w:r>
      <w:r w:rsidR="00E44328" w:rsidRPr="007542B3">
        <w:rPr>
          <w:sz w:val="22"/>
        </w:rPr>
        <w:t xml:space="preserve">will become responsible for all areas of the tenancy, including rent account, arrears and condition of the property. </w:t>
      </w:r>
    </w:p>
    <w:p w14:paraId="5B8B370B" w14:textId="12E39FC0" w:rsidR="009E104A" w:rsidRPr="007542B3" w:rsidRDefault="009E104A" w:rsidP="001B02CF">
      <w:pPr>
        <w:pStyle w:val="Level1"/>
        <w:keepNext/>
        <w:numPr>
          <w:ilvl w:val="0"/>
          <w:numId w:val="2"/>
        </w:numPr>
        <w:ind w:left="426" w:hanging="710"/>
        <w:rPr>
          <w:rStyle w:val="Level1asheadingtext"/>
          <w:bCs/>
          <w:sz w:val="22"/>
        </w:rPr>
      </w:pPr>
      <w:r w:rsidRPr="007542B3">
        <w:rPr>
          <w:rStyle w:val="Level1asheadingtext"/>
          <w:bCs/>
          <w:sz w:val="22"/>
        </w:rPr>
        <w:t>Succession to a Minor</w:t>
      </w:r>
    </w:p>
    <w:p w14:paraId="27DACA80" w14:textId="037D06FA" w:rsidR="00672DFE" w:rsidRPr="007542B3" w:rsidRDefault="00482889" w:rsidP="00F83FC7">
      <w:pPr>
        <w:pStyle w:val="Level1"/>
        <w:numPr>
          <w:ilvl w:val="0"/>
          <w:numId w:val="0"/>
        </w:numPr>
        <w:ind w:left="426" w:hanging="426"/>
        <w:rPr>
          <w:color w:val="000000"/>
          <w:sz w:val="22"/>
        </w:rPr>
      </w:pPr>
      <w:r w:rsidRPr="007542B3">
        <w:rPr>
          <w:sz w:val="22"/>
        </w:rPr>
        <w:t>9</w:t>
      </w:r>
      <w:r w:rsidR="00BD328C" w:rsidRPr="007542B3">
        <w:rPr>
          <w:sz w:val="22"/>
        </w:rPr>
        <w:t>.1</w:t>
      </w:r>
      <w:r w:rsidR="00BD328C" w:rsidRPr="007542B3">
        <w:rPr>
          <w:sz w:val="22"/>
        </w:rPr>
        <w:tab/>
      </w:r>
      <w:r w:rsidR="00672DFE" w:rsidRPr="007542B3">
        <w:rPr>
          <w:sz w:val="22"/>
        </w:rPr>
        <w:t xml:space="preserve">A minor is a person aged under 18 years. If they meet the conditions for succession, they are legally entitled to succeed to a tenancy regardless of how young they are. We will always seek to find an adult to be the trustee to hold the tenancy interest until the minor reaches 18 years of age. If the deceased tenant had a will, then the executor will be the trustee automatically. If there was no will, we will speak to other adult family members or a social worker to ask one of them to act as the trustee. </w:t>
      </w:r>
    </w:p>
    <w:p w14:paraId="776CAAD2" w14:textId="169FAAA0" w:rsidR="00980E84" w:rsidRPr="007542B3" w:rsidRDefault="00482889" w:rsidP="00BD328C">
      <w:pPr>
        <w:pStyle w:val="Level1"/>
        <w:numPr>
          <w:ilvl w:val="0"/>
          <w:numId w:val="0"/>
        </w:numPr>
        <w:ind w:left="426" w:hanging="426"/>
        <w:rPr>
          <w:sz w:val="22"/>
        </w:rPr>
      </w:pPr>
      <w:r w:rsidRPr="007542B3">
        <w:rPr>
          <w:sz w:val="22"/>
        </w:rPr>
        <w:t>9</w:t>
      </w:r>
      <w:r w:rsidR="00F83FC7" w:rsidRPr="007542B3">
        <w:rPr>
          <w:sz w:val="22"/>
        </w:rPr>
        <w:t>.2</w:t>
      </w:r>
      <w:r w:rsidR="00F83FC7" w:rsidRPr="007542B3">
        <w:rPr>
          <w:sz w:val="22"/>
        </w:rPr>
        <w:tab/>
      </w:r>
      <w:r w:rsidR="00672DFE" w:rsidRPr="007542B3">
        <w:rPr>
          <w:sz w:val="22"/>
        </w:rPr>
        <w:t>Where there is social services involvement, we will work with both the family and social services to try to ensure sufficient support is provided by the family. If no adult will agree to act as trustee, we will take legal advice about how to proceed.</w:t>
      </w:r>
    </w:p>
    <w:p w14:paraId="05F4BE58" w14:textId="77777777" w:rsidR="00496FF2" w:rsidRPr="007542B3" w:rsidRDefault="00496FF2" w:rsidP="001B02CF">
      <w:pPr>
        <w:pStyle w:val="Level1"/>
        <w:keepNext/>
        <w:numPr>
          <w:ilvl w:val="0"/>
          <w:numId w:val="2"/>
        </w:numPr>
        <w:ind w:left="426" w:hanging="710"/>
        <w:rPr>
          <w:rStyle w:val="Level1asheadingtext"/>
          <w:bCs/>
          <w:sz w:val="22"/>
        </w:rPr>
      </w:pPr>
      <w:r w:rsidRPr="007542B3">
        <w:rPr>
          <w:rStyle w:val="Level1asheadingtext"/>
          <w:bCs/>
          <w:sz w:val="22"/>
        </w:rPr>
        <w:t>Terminating a Tenancy</w:t>
      </w:r>
    </w:p>
    <w:p w14:paraId="1936D8F7" w14:textId="7E946C44" w:rsidR="00496FF2" w:rsidRPr="007542B3" w:rsidRDefault="00496FF2" w:rsidP="007548AB">
      <w:pPr>
        <w:pStyle w:val="Level2"/>
        <w:rPr>
          <w:sz w:val="22"/>
        </w:rPr>
      </w:pPr>
      <w:r w:rsidRPr="007542B3">
        <w:rPr>
          <w:sz w:val="22"/>
        </w:rPr>
        <w:t xml:space="preserve">Where there is no obvious successor, Notice to Quit will be served on the property and /or the Public Trustee if the tenant dies intestate. Any non-successor or occupiers in the property should be sent a letter </w:t>
      </w:r>
      <w:r w:rsidR="00C46BDD" w:rsidRPr="007542B3">
        <w:rPr>
          <w:sz w:val="22"/>
        </w:rPr>
        <w:t>requesting them</w:t>
      </w:r>
      <w:r w:rsidRPr="007542B3">
        <w:rPr>
          <w:sz w:val="22"/>
        </w:rPr>
        <w:t xml:space="preserve"> to vacate</w:t>
      </w:r>
      <w:r w:rsidR="009D672B" w:rsidRPr="007542B3">
        <w:rPr>
          <w:sz w:val="22"/>
        </w:rPr>
        <w:t>.</w:t>
      </w:r>
    </w:p>
    <w:p w14:paraId="648638C4" w14:textId="6753992E" w:rsidR="00A930A5" w:rsidRPr="007542B3" w:rsidRDefault="0047670B" w:rsidP="00A30AEA">
      <w:pPr>
        <w:pStyle w:val="Level2"/>
        <w:rPr>
          <w:sz w:val="22"/>
        </w:rPr>
      </w:pPr>
      <w:r w:rsidRPr="007542B3">
        <w:rPr>
          <w:sz w:val="22"/>
        </w:rPr>
        <w:lastRenderedPageBreak/>
        <w:t>We will allow a reasonable time for non</w:t>
      </w:r>
      <w:r w:rsidR="00E85E33" w:rsidRPr="007542B3">
        <w:rPr>
          <w:sz w:val="22"/>
        </w:rPr>
        <w:t>-</w:t>
      </w:r>
      <w:r w:rsidRPr="007542B3">
        <w:rPr>
          <w:sz w:val="22"/>
        </w:rPr>
        <w:t xml:space="preserve"> successors to find alternative accommodation, as long as Use and Occupation payments continue to be </w:t>
      </w:r>
      <w:r w:rsidR="00D8758C" w:rsidRPr="007542B3">
        <w:rPr>
          <w:sz w:val="22"/>
        </w:rPr>
        <w:t>made,</w:t>
      </w:r>
      <w:r w:rsidR="00A930A5" w:rsidRPr="007542B3">
        <w:rPr>
          <w:sz w:val="22"/>
        </w:rPr>
        <w:t xml:space="preserve"> and the</w:t>
      </w:r>
      <w:r w:rsidR="008C3AFF" w:rsidRPr="007542B3">
        <w:rPr>
          <w:sz w:val="22"/>
        </w:rPr>
        <w:t xml:space="preserve"> non-successo</w:t>
      </w:r>
      <w:r w:rsidR="00EE0E6C" w:rsidRPr="007542B3">
        <w:rPr>
          <w:sz w:val="22"/>
        </w:rPr>
        <w:t>r</w:t>
      </w:r>
      <w:r w:rsidR="008C3AFF" w:rsidRPr="007542B3">
        <w:rPr>
          <w:sz w:val="22"/>
        </w:rPr>
        <w:t xml:space="preserve"> remains in occupation.</w:t>
      </w:r>
    </w:p>
    <w:p w14:paraId="349447A6" w14:textId="5321F98D" w:rsidR="009531F6" w:rsidRPr="007542B3" w:rsidRDefault="00BE34F2" w:rsidP="00A30AEA">
      <w:pPr>
        <w:pStyle w:val="Level2"/>
        <w:rPr>
          <w:sz w:val="22"/>
        </w:rPr>
      </w:pPr>
      <w:r w:rsidRPr="007542B3">
        <w:rPr>
          <w:sz w:val="22"/>
        </w:rPr>
        <w:t>I</w:t>
      </w:r>
      <w:r w:rsidR="00496FF2" w:rsidRPr="007542B3">
        <w:rPr>
          <w:sz w:val="22"/>
        </w:rPr>
        <w:t xml:space="preserve">f someone is a non-successor, </w:t>
      </w:r>
      <w:r w:rsidR="008720F3" w:rsidRPr="002408A8">
        <w:rPr>
          <w:sz w:val="22"/>
        </w:rPr>
        <w:t>we</w:t>
      </w:r>
      <w:r w:rsidR="00496FF2" w:rsidRPr="007542B3">
        <w:rPr>
          <w:sz w:val="22"/>
        </w:rPr>
        <w:t xml:space="preserve"> will advise them of their rights to apply to the local housing register.  The non-successor will be charged a weekly use and occupation charges until they leave. They will have to pay the weekly charge and take responsibility for clearing any damage or belongings belonging to them. Not paying</w:t>
      </w:r>
      <w:r w:rsidR="00432072" w:rsidRPr="007542B3">
        <w:rPr>
          <w:sz w:val="22"/>
        </w:rPr>
        <w:t>,</w:t>
      </w:r>
      <w:r w:rsidR="00496FF2" w:rsidRPr="007542B3">
        <w:rPr>
          <w:sz w:val="22"/>
        </w:rPr>
        <w:t xml:space="preserve"> causing damage or </w:t>
      </w:r>
      <w:r w:rsidR="00432072" w:rsidRPr="007542B3">
        <w:rPr>
          <w:sz w:val="22"/>
        </w:rPr>
        <w:t>nuisance</w:t>
      </w:r>
      <w:r w:rsidR="00496FF2" w:rsidRPr="007542B3">
        <w:rPr>
          <w:sz w:val="22"/>
        </w:rPr>
        <w:t xml:space="preserve"> could become grounds for excluding the non-successor from being housed in other West Kent properties. U</w:t>
      </w:r>
      <w:r w:rsidR="009115AB" w:rsidRPr="007542B3">
        <w:rPr>
          <w:sz w:val="22"/>
        </w:rPr>
        <w:t>se</w:t>
      </w:r>
      <w:r w:rsidR="00496FF2" w:rsidRPr="007542B3">
        <w:rPr>
          <w:sz w:val="22"/>
        </w:rPr>
        <w:t xml:space="preserve"> and O</w:t>
      </w:r>
      <w:r w:rsidR="004837A9" w:rsidRPr="007542B3">
        <w:rPr>
          <w:sz w:val="22"/>
        </w:rPr>
        <w:t>ccupation</w:t>
      </w:r>
      <w:r w:rsidR="00496FF2" w:rsidRPr="007542B3">
        <w:rPr>
          <w:sz w:val="22"/>
        </w:rPr>
        <w:t xml:space="preserve"> account</w:t>
      </w:r>
      <w:r w:rsidRPr="007542B3">
        <w:rPr>
          <w:sz w:val="22"/>
        </w:rPr>
        <w:t>s</w:t>
      </w:r>
      <w:r w:rsidR="00496FF2" w:rsidRPr="007542B3">
        <w:rPr>
          <w:sz w:val="22"/>
        </w:rPr>
        <w:t xml:space="preserve"> </w:t>
      </w:r>
      <w:r w:rsidRPr="007542B3">
        <w:rPr>
          <w:sz w:val="22"/>
        </w:rPr>
        <w:t xml:space="preserve">are </w:t>
      </w:r>
      <w:r w:rsidR="00496FF2" w:rsidRPr="007542B3">
        <w:rPr>
          <w:sz w:val="22"/>
        </w:rPr>
        <w:t>monitored by</w:t>
      </w:r>
      <w:r w:rsidR="00C46BDD" w:rsidRPr="007542B3">
        <w:rPr>
          <w:sz w:val="22"/>
        </w:rPr>
        <w:t xml:space="preserve"> the Income team and</w:t>
      </w:r>
      <w:r w:rsidR="00496FF2" w:rsidRPr="007542B3">
        <w:rPr>
          <w:sz w:val="22"/>
        </w:rPr>
        <w:t xml:space="preserve"> N</w:t>
      </w:r>
      <w:r w:rsidR="00C46BDD" w:rsidRPr="007542B3">
        <w:rPr>
          <w:sz w:val="22"/>
        </w:rPr>
        <w:t>H</w:t>
      </w:r>
      <w:r w:rsidR="00496FF2" w:rsidRPr="007542B3">
        <w:rPr>
          <w:sz w:val="22"/>
        </w:rPr>
        <w:t>O</w:t>
      </w:r>
      <w:r w:rsidR="00C46BDD" w:rsidRPr="007542B3">
        <w:rPr>
          <w:sz w:val="22"/>
        </w:rPr>
        <w:t>s.</w:t>
      </w:r>
      <w:r w:rsidR="00E972F3" w:rsidRPr="007542B3">
        <w:rPr>
          <w:sz w:val="22"/>
        </w:rPr>
        <w:t xml:space="preserve">  </w:t>
      </w:r>
      <w:r w:rsidR="00C46BDD" w:rsidRPr="007542B3">
        <w:rPr>
          <w:sz w:val="22"/>
        </w:rPr>
        <w:t>NHOs are responsible for any action relating to the U</w:t>
      </w:r>
      <w:r w:rsidR="004837A9" w:rsidRPr="007542B3">
        <w:rPr>
          <w:sz w:val="22"/>
        </w:rPr>
        <w:t>se</w:t>
      </w:r>
      <w:r w:rsidR="00C46BDD" w:rsidRPr="007542B3">
        <w:rPr>
          <w:sz w:val="22"/>
        </w:rPr>
        <w:t xml:space="preserve"> and O</w:t>
      </w:r>
      <w:r w:rsidR="004837A9" w:rsidRPr="007542B3">
        <w:rPr>
          <w:sz w:val="22"/>
        </w:rPr>
        <w:t>ccupation</w:t>
      </w:r>
      <w:r w:rsidR="00C46BDD" w:rsidRPr="007542B3">
        <w:rPr>
          <w:sz w:val="22"/>
        </w:rPr>
        <w:t xml:space="preserve"> account.</w:t>
      </w:r>
    </w:p>
    <w:p w14:paraId="682E2889" w14:textId="2A4B28BE" w:rsidR="00496FF2" w:rsidRPr="007542B3" w:rsidRDefault="00534076" w:rsidP="00A30AEA">
      <w:pPr>
        <w:pStyle w:val="Level2"/>
        <w:rPr>
          <w:sz w:val="22"/>
        </w:rPr>
      </w:pPr>
      <w:r w:rsidRPr="007542B3">
        <w:rPr>
          <w:sz w:val="22"/>
        </w:rPr>
        <w:t>Arrear</w:t>
      </w:r>
      <w:r w:rsidR="00D8758C" w:rsidRPr="007542B3">
        <w:rPr>
          <w:sz w:val="22"/>
        </w:rPr>
        <w:t>s</w:t>
      </w:r>
      <w:r w:rsidRPr="007542B3">
        <w:rPr>
          <w:sz w:val="22"/>
        </w:rPr>
        <w:t xml:space="preserve"> of over </w:t>
      </w:r>
      <w:r w:rsidR="008720F3" w:rsidRPr="002408A8">
        <w:rPr>
          <w:sz w:val="22"/>
        </w:rPr>
        <w:t>four</w:t>
      </w:r>
      <w:r w:rsidRPr="007542B3">
        <w:rPr>
          <w:sz w:val="22"/>
        </w:rPr>
        <w:t xml:space="preserve"> weeks will lead to a review of our decision </w:t>
      </w:r>
      <w:r w:rsidR="00184909" w:rsidRPr="007542B3">
        <w:rPr>
          <w:sz w:val="22"/>
        </w:rPr>
        <w:t xml:space="preserve">to allow </w:t>
      </w:r>
      <w:r w:rsidR="00D8758C" w:rsidRPr="007542B3">
        <w:rPr>
          <w:sz w:val="22"/>
        </w:rPr>
        <w:t xml:space="preserve">non-successors to remain in </w:t>
      </w:r>
      <w:r w:rsidR="009531F6" w:rsidRPr="007542B3">
        <w:rPr>
          <w:sz w:val="22"/>
        </w:rPr>
        <w:t>occupation</w:t>
      </w:r>
      <w:r w:rsidR="00585EC3" w:rsidRPr="007542B3">
        <w:rPr>
          <w:sz w:val="22"/>
        </w:rPr>
        <w:t xml:space="preserve"> or offer alternative accommodation.</w:t>
      </w:r>
    </w:p>
    <w:p w14:paraId="20E8FA81" w14:textId="4EF08B68" w:rsidR="00DF7083" w:rsidRPr="007542B3" w:rsidRDefault="00DF7083" w:rsidP="00DF7083">
      <w:pPr>
        <w:pStyle w:val="Level2"/>
        <w:rPr>
          <w:sz w:val="22"/>
        </w:rPr>
      </w:pPr>
      <w:r w:rsidRPr="007542B3">
        <w:rPr>
          <w:sz w:val="22"/>
        </w:rPr>
        <w:t xml:space="preserve">When a succession application if refused, and no discretionary tenancy is to be granted a </w:t>
      </w:r>
      <w:r w:rsidR="005A1BF4" w:rsidRPr="007542B3">
        <w:rPr>
          <w:sz w:val="22"/>
        </w:rPr>
        <w:t>Residents Equality and Risk Impact Assessment should be complete</w:t>
      </w:r>
      <w:r w:rsidR="009D672B" w:rsidRPr="007542B3">
        <w:rPr>
          <w:sz w:val="22"/>
        </w:rPr>
        <w:t>d</w:t>
      </w:r>
      <w:r w:rsidR="006B61DE" w:rsidRPr="007542B3">
        <w:rPr>
          <w:sz w:val="22"/>
        </w:rPr>
        <w:t xml:space="preserve"> to determine if further support required.</w:t>
      </w:r>
    </w:p>
    <w:p w14:paraId="254D5482" w14:textId="6CFD5D88" w:rsidR="00595FD9" w:rsidRPr="007542B3" w:rsidRDefault="0047512C" w:rsidP="001B02CF">
      <w:pPr>
        <w:pStyle w:val="Level1"/>
        <w:keepNext/>
        <w:numPr>
          <w:ilvl w:val="0"/>
          <w:numId w:val="2"/>
        </w:numPr>
        <w:ind w:left="426" w:hanging="710"/>
        <w:rPr>
          <w:rStyle w:val="Level1asheadingtext"/>
          <w:bCs/>
          <w:sz w:val="22"/>
        </w:rPr>
      </w:pPr>
      <w:r w:rsidRPr="007542B3">
        <w:rPr>
          <w:rStyle w:val="Level1asheadingtext"/>
          <w:bCs/>
          <w:sz w:val="22"/>
        </w:rPr>
        <w:t>Assignment</w:t>
      </w:r>
    </w:p>
    <w:p w14:paraId="2C7088F8" w14:textId="4814BA90" w:rsidR="007F6756" w:rsidRPr="007542B3" w:rsidRDefault="00F54751" w:rsidP="005F70EA">
      <w:pPr>
        <w:pStyle w:val="Level2"/>
        <w:rPr>
          <w:sz w:val="22"/>
        </w:rPr>
      </w:pPr>
      <w:r w:rsidRPr="007542B3">
        <w:rPr>
          <w:sz w:val="22"/>
        </w:rPr>
        <w:t>An assignment can only take place if the original tenant has</w:t>
      </w:r>
      <w:r w:rsidR="00F26DA9" w:rsidRPr="007542B3">
        <w:rPr>
          <w:sz w:val="22"/>
        </w:rPr>
        <w:t xml:space="preserve"> a contractual</w:t>
      </w:r>
      <w:r w:rsidRPr="007542B3">
        <w:rPr>
          <w:sz w:val="22"/>
        </w:rPr>
        <w:t xml:space="preserve"> right to assign</w:t>
      </w:r>
      <w:r w:rsidR="005F70EA" w:rsidRPr="007542B3">
        <w:rPr>
          <w:sz w:val="22"/>
        </w:rPr>
        <w:t xml:space="preserve">.  </w:t>
      </w:r>
    </w:p>
    <w:p w14:paraId="5976A2A9" w14:textId="48D21ABF" w:rsidR="007F6756" w:rsidRPr="007542B3" w:rsidRDefault="007F6756" w:rsidP="005F70EA">
      <w:pPr>
        <w:pStyle w:val="Level2"/>
        <w:rPr>
          <w:sz w:val="22"/>
        </w:rPr>
      </w:pPr>
      <w:r w:rsidRPr="007542B3">
        <w:rPr>
          <w:sz w:val="22"/>
        </w:rPr>
        <w:t>An assignment involves a tenant requesting permission to sign over their tenancy rights to another person. The assignment does not create a new tenancy but results in the transfer of the current tenancy agreement to the new tenant or tenants.</w:t>
      </w:r>
    </w:p>
    <w:p w14:paraId="7500F75C" w14:textId="0DF934F0" w:rsidR="00F54751" w:rsidRPr="007542B3" w:rsidRDefault="005F70EA" w:rsidP="005F70EA">
      <w:pPr>
        <w:pStyle w:val="Level2"/>
        <w:rPr>
          <w:sz w:val="22"/>
        </w:rPr>
      </w:pPr>
      <w:r w:rsidRPr="007542B3">
        <w:rPr>
          <w:sz w:val="22"/>
        </w:rPr>
        <w:t>We will consider the following types of assignment</w:t>
      </w:r>
    </w:p>
    <w:p w14:paraId="4CC654EB" w14:textId="35B4E718" w:rsidR="005F70EA" w:rsidRPr="007542B3" w:rsidRDefault="005F70EA" w:rsidP="001B02CF">
      <w:pPr>
        <w:pStyle w:val="Level1"/>
        <w:keepNext/>
        <w:numPr>
          <w:ilvl w:val="0"/>
          <w:numId w:val="12"/>
        </w:numPr>
        <w:rPr>
          <w:b/>
          <w:sz w:val="22"/>
        </w:rPr>
      </w:pPr>
      <w:r w:rsidRPr="007542B3">
        <w:rPr>
          <w:bCs/>
          <w:sz w:val="22"/>
        </w:rPr>
        <w:t>By Mutual Exchange -</w:t>
      </w:r>
      <w:r w:rsidRPr="007542B3">
        <w:rPr>
          <w:sz w:val="22"/>
        </w:rPr>
        <w:t xml:space="preserve"> Tenants who have the right to mutually exchange can ‘swap’ their home with another tenant of a registered provider of social housing, such as another housing association or local authority</w:t>
      </w:r>
      <w:r w:rsidR="007D7F51" w:rsidRPr="007542B3">
        <w:rPr>
          <w:sz w:val="22"/>
        </w:rPr>
        <w:t xml:space="preserve"> </w:t>
      </w:r>
      <w:hyperlink r:id="rId13" w:history="1">
        <w:r w:rsidR="00075EB0">
          <w:rPr>
            <w:rStyle w:val="Hyperlink"/>
            <w:sz w:val="22"/>
          </w:rPr>
          <w:t>(Mutual Exchange Policy).</w:t>
        </w:r>
      </w:hyperlink>
    </w:p>
    <w:p w14:paraId="3B725590" w14:textId="2C494350" w:rsidR="005F70EA" w:rsidRPr="007542B3" w:rsidRDefault="005F70EA" w:rsidP="001B02CF">
      <w:pPr>
        <w:pStyle w:val="Level1"/>
        <w:keepNext/>
        <w:numPr>
          <w:ilvl w:val="0"/>
          <w:numId w:val="12"/>
        </w:numPr>
        <w:rPr>
          <w:b/>
          <w:sz w:val="22"/>
        </w:rPr>
      </w:pPr>
      <w:r w:rsidRPr="007542B3">
        <w:rPr>
          <w:sz w:val="22"/>
        </w:rPr>
        <w:t>By a court order: We will always agree to an assignment if ordered to do so by a court order.</w:t>
      </w:r>
    </w:p>
    <w:p w14:paraId="37C554A3" w14:textId="1596247C" w:rsidR="005F70EA" w:rsidRPr="007542B3" w:rsidRDefault="005F70EA" w:rsidP="001B02CF">
      <w:pPr>
        <w:pStyle w:val="Level2"/>
        <w:numPr>
          <w:ilvl w:val="0"/>
          <w:numId w:val="12"/>
        </w:numPr>
        <w:rPr>
          <w:b/>
          <w:sz w:val="22"/>
        </w:rPr>
      </w:pPr>
      <w:r w:rsidRPr="007542B3">
        <w:rPr>
          <w:sz w:val="22"/>
        </w:rPr>
        <w:t>To a potential successor: Tenants may have the right to assign to a potential successor if stated in their tenancy agreement.</w:t>
      </w:r>
    </w:p>
    <w:p w14:paraId="729B9FA9" w14:textId="77777777" w:rsidR="004F4C8C" w:rsidRPr="007542B3" w:rsidRDefault="0047512C" w:rsidP="0047512C">
      <w:pPr>
        <w:pStyle w:val="Level2"/>
        <w:rPr>
          <w:b/>
          <w:bCs/>
          <w:sz w:val="22"/>
        </w:rPr>
      </w:pPr>
      <w:r w:rsidRPr="007542B3">
        <w:rPr>
          <w:b/>
          <w:bCs/>
          <w:sz w:val="22"/>
        </w:rPr>
        <w:t xml:space="preserve">Mutual </w:t>
      </w:r>
      <w:r w:rsidR="004F4C8C" w:rsidRPr="007542B3">
        <w:rPr>
          <w:b/>
          <w:bCs/>
          <w:sz w:val="22"/>
        </w:rPr>
        <w:t>Exchanges</w:t>
      </w:r>
    </w:p>
    <w:p w14:paraId="1336436C" w14:textId="66DE838C" w:rsidR="00E97043" w:rsidRPr="007542B3" w:rsidRDefault="00E97043" w:rsidP="004F4C8C">
      <w:pPr>
        <w:pStyle w:val="Level2"/>
        <w:numPr>
          <w:ilvl w:val="0"/>
          <w:numId w:val="0"/>
        </w:numPr>
        <w:ind w:left="992"/>
        <w:rPr>
          <w:sz w:val="22"/>
        </w:rPr>
      </w:pPr>
      <w:r w:rsidRPr="007542B3">
        <w:rPr>
          <w:sz w:val="22"/>
        </w:rPr>
        <w:t xml:space="preserve">Under a mutual exchange, tenants retain their own rights of succession. This means that if the tenant had the tenancy assigned to them through a mutual </w:t>
      </w:r>
      <w:r w:rsidR="005F70EA" w:rsidRPr="007542B3">
        <w:rPr>
          <w:sz w:val="22"/>
        </w:rPr>
        <w:t>exchange and</w:t>
      </w:r>
      <w:r w:rsidRPr="007542B3">
        <w:rPr>
          <w:sz w:val="22"/>
        </w:rPr>
        <w:t xml:space="preserve"> had not already used up their own right of succession on their original tenancy</w:t>
      </w:r>
      <w:r w:rsidR="008720F3" w:rsidRPr="002408A8">
        <w:rPr>
          <w:sz w:val="22"/>
        </w:rPr>
        <w:t>,</w:t>
      </w:r>
      <w:r w:rsidRPr="007542B3">
        <w:rPr>
          <w:sz w:val="22"/>
        </w:rPr>
        <w:t xml:space="preserve"> they would be able to pass on their new tenancy through succession regardless of whether the tenant they exchanged with was a successor. </w:t>
      </w:r>
      <w:r w:rsidR="00D770CE" w:rsidRPr="007542B3">
        <w:rPr>
          <w:sz w:val="22"/>
        </w:rPr>
        <w:t>A mutual exchange</w:t>
      </w:r>
      <w:r w:rsidR="00BC139C" w:rsidRPr="007542B3">
        <w:rPr>
          <w:sz w:val="22"/>
        </w:rPr>
        <w:t xml:space="preserve"> by assignment</w:t>
      </w:r>
      <w:r w:rsidR="00D770CE" w:rsidRPr="007542B3">
        <w:rPr>
          <w:sz w:val="22"/>
        </w:rPr>
        <w:t xml:space="preserve"> </w:t>
      </w:r>
      <w:r w:rsidR="00BC139C" w:rsidRPr="007542B3">
        <w:rPr>
          <w:sz w:val="22"/>
        </w:rPr>
        <w:t>does not count as a succession.</w:t>
      </w:r>
    </w:p>
    <w:p w14:paraId="7A415FF8" w14:textId="074CB231" w:rsidR="00DC3878" w:rsidRPr="007542B3" w:rsidRDefault="00DC3878" w:rsidP="001B02CF">
      <w:pPr>
        <w:pStyle w:val="Level2"/>
        <w:rPr>
          <w:b/>
          <w:bCs/>
          <w:sz w:val="22"/>
        </w:rPr>
      </w:pPr>
      <w:r w:rsidRPr="007542B3">
        <w:rPr>
          <w:b/>
          <w:bCs/>
          <w:sz w:val="22"/>
        </w:rPr>
        <w:lastRenderedPageBreak/>
        <w:t>Assignment by Court Order</w:t>
      </w:r>
    </w:p>
    <w:p w14:paraId="00F3F06F" w14:textId="77777777" w:rsidR="00D770CE" w:rsidRPr="007542B3" w:rsidRDefault="00DC3878" w:rsidP="00AF58E8">
      <w:pPr>
        <w:pStyle w:val="Level2"/>
        <w:numPr>
          <w:ilvl w:val="0"/>
          <w:numId w:val="0"/>
        </w:numPr>
        <w:ind w:left="992"/>
        <w:rPr>
          <w:sz w:val="22"/>
        </w:rPr>
      </w:pPr>
      <w:r w:rsidRPr="007542B3">
        <w:rPr>
          <w:sz w:val="22"/>
        </w:rPr>
        <w:t>An assignment does not count as a succession where it is required by a court order</w:t>
      </w:r>
      <w:r w:rsidR="00AF58E8" w:rsidRPr="007542B3">
        <w:rPr>
          <w:sz w:val="22"/>
        </w:rPr>
        <w:t>.</w:t>
      </w:r>
      <w:r w:rsidRPr="007542B3">
        <w:rPr>
          <w:sz w:val="22"/>
        </w:rPr>
        <w:t xml:space="preserve"> </w:t>
      </w:r>
    </w:p>
    <w:p w14:paraId="00F4421C" w14:textId="3FEB22A2" w:rsidR="00BE6436" w:rsidRPr="007542B3" w:rsidRDefault="00BE6436" w:rsidP="00E93512">
      <w:pPr>
        <w:pStyle w:val="Level2"/>
        <w:rPr>
          <w:b/>
          <w:bCs/>
          <w:sz w:val="22"/>
        </w:rPr>
      </w:pPr>
      <w:r w:rsidRPr="007542B3">
        <w:rPr>
          <w:b/>
          <w:bCs/>
          <w:sz w:val="22"/>
        </w:rPr>
        <w:t>Assignment to a would</w:t>
      </w:r>
      <w:r w:rsidR="008720F3" w:rsidRPr="002408A8">
        <w:rPr>
          <w:b/>
          <w:bCs/>
          <w:sz w:val="22"/>
        </w:rPr>
        <w:t>-</w:t>
      </w:r>
      <w:r w:rsidRPr="007542B3">
        <w:rPr>
          <w:b/>
          <w:bCs/>
          <w:sz w:val="22"/>
        </w:rPr>
        <w:t>be successor</w:t>
      </w:r>
    </w:p>
    <w:p w14:paraId="663D47A4" w14:textId="77777777" w:rsidR="00BB4B05" w:rsidRPr="007542B3" w:rsidRDefault="00BB4B05" w:rsidP="00BB4B05">
      <w:pPr>
        <w:pStyle w:val="Level2"/>
        <w:numPr>
          <w:ilvl w:val="0"/>
          <w:numId w:val="0"/>
        </w:numPr>
        <w:ind w:left="992"/>
        <w:rPr>
          <w:sz w:val="22"/>
        </w:rPr>
      </w:pPr>
      <w:r w:rsidRPr="007542B3">
        <w:rPr>
          <w:sz w:val="22"/>
        </w:rPr>
        <w:t xml:space="preserve">We may refuse a request of assignment where the: </w:t>
      </w:r>
    </w:p>
    <w:p w14:paraId="04C9B742" w14:textId="77777777" w:rsidR="00BB4B05" w:rsidRPr="007542B3" w:rsidRDefault="00BB4B05" w:rsidP="00BB4B05">
      <w:pPr>
        <w:pStyle w:val="Level2"/>
        <w:numPr>
          <w:ilvl w:val="0"/>
          <w:numId w:val="0"/>
        </w:numPr>
        <w:ind w:left="992"/>
        <w:rPr>
          <w:sz w:val="22"/>
        </w:rPr>
      </w:pPr>
      <w:r w:rsidRPr="007542B3">
        <w:rPr>
          <w:sz w:val="22"/>
        </w:rPr>
        <w:t xml:space="preserve">• Tenant has rent arrears or any other outstanding breach of their tenancy </w:t>
      </w:r>
    </w:p>
    <w:p w14:paraId="0613087A" w14:textId="77777777" w:rsidR="00BB4B05" w:rsidRPr="007542B3" w:rsidRDefault="00BB4B05" w:rsidP="00BB4B05">
      <w:pPr>
        <w:pStyle w:val="Level2"/>
        <w:numPr>
          <w:ilvl w:val="0"/>
          <w:numId w:val="0"/>
        </w:numPr>
        <w:ind w:left="992"/>
        <w:rPr>
          <w:sz w:val="22"/>
        </w:rPr>
      </w:pPr>
      <w:r w:rsidRPr="007542B3">
        <w:rPr>
          <w:sz w:val="22"/>
        </w:rPr>
        <w:t xml:space="preserve">• Tenant is subject to legal action by us </w:t>
      </w:r>
    </w:p>
    <w:p w14:paraId="5A0BE952" w14:textId="77777777" w:rsidR="00BB4B05" w:rsidRPr="007542B3" w:rsidRDefault="00BB4B05" w:rsidP="00BB4B05">
      <w:pPr>
        <w:pStyle w:val="Level2"/>
        <w:numPr>
          <w:ilvl w:val="0"/>
          <w:numId w:val="0"/>
        </w:numPr>
        <w:ind w:left="992"/>
        <w:rPr>
          <w:sz w:val="22"/>
        </w:rPr>
      </w:pPr>
      <w:r w:rsidRPr="007542B3">
        <w:rPr>
          <w:sz w:val="22"/>
        </w:rPr>
        <w:t xml:space="preserve">• Property would not be suitable for the needs of the person the tenancy would be assigned to (assignee) or their household. This includes some sheltered housing schemes or where the property has been adapted and the assignee or any member of their household does not require the adaptation. </w:t>
      </w:r>
    </w:p>
    <w:p w14:paraId="49DF1109" w14:textId="2338EDEA" w:rsidR="00BB4B05" w:rsidRPr="007542B3" w:rsidRDefault="00BB4B05" w:rsidP="00BB4B05">
      <w:pPr>
        <w:pStyle w:val="Level2"/>
        <w:numPr>
          <w:ilvl w:val="0"/>
          <w:numId w:val="0"/>
        </w:numPr>
        <w:ind w:left="992"/>
        <w:rPr>
          <w:sz w:val="22"/>
        </w:rPr>
      </w:pPr>
      <w:r w:rsidRPr="007542B3">
        <w:rPr>
          <w:sz w:val="22"/>
        </w:rPr>
        <w:t>• The tenancy has already been assigned or succeeded where the request is not via a court order or mutual exchange.</w:t>
      </w:r>
    </w:p>
    <w:p w14:paraId="6DC2A598" w14:textId="799A2AF8" w:rsidR="00955A8E" w:rsidRPr="007542B3" w:rsidRDefault="00E0644C" w:rsidP="001B02CF">
      <w:pPr>
        <w:pStyle w:val="Level1"/>
        <w:keepNext/>
        <w:numPr>
          <w:ilvl w:val="0"/>
          <w:numId w:val="2"/>
        </w:numPr>
        <w:ind w:left="426" w:hanging="710"/>
        <w:rPr>
          <w:rStyle w:val="Level1asheadingtext"/>
          <w:sz w:val="22"/>
        </w:rPr>
      </w:pPr>
      <w:r w:rsidRPr="007542B3">
        <w:rPr>
          <w:rStyle w:val="Level1asheadingtext"/>
          <w:sz w:val="22"/>
        </w:rPr>
        <w:t>Appeals</w:t>
      </w:r>
    </w:p>
    <w:p w14:paraId="2A805709" w14:textId="4164DD34" w:rsidR="006708B2" w:rsidRPr="007542B3" w:rsidRDefault="00482889" w:rsidP="00ED4BE7">
      <w:pPr>
        <w:pStyle w:val="Level1"/>
        <w:numPr>
          <w:ilvl w:val="0"/>
          <w:numId w:val="0"/>
        </w:numPr>
        <w:ind w:left="720" w:hanging="720"/>
        <w:rPr>
          <w:sz w:val="22"/>
        </w:rPr>
      </w:pPr>
      <w:r w:rsidRPr="007542B3">
        <w:rPr>
          <w:sz w:val="22"/>
        </w:rPr>
        <w:t>12</w:t>
      </w:r>
      <w:r w:rsidR="0009090E" w:rsidRPr="007542B3">
        <w:rPr>
          <w:sz w:val="22"/>
        </w:rPr>
        <w:t>.1</w:t>
      </w:r>
      <w:r w:rsidR="00584F20" w:rsidRPr="007542B3">
        <w:rPr>
          <w:sz w:val="22"/>
        </w:rPr>
        <w:t xml:space="preserve"> </w:t>
      </w:r>
      <w:r w:rsidR="004A3EE4" w:rsidRPr="007542B3">
        <w:rPr>
          <w:sz w:val="22"/>
        </w:rPr>
        <w:tab/>
      </w:r>
      <w:r w:rsidR="006708B2" w:rsidRPr="007542B3">
        <w:rPr>
          <w:sz w:val="22"/>
        </w:rPr>
        <w:t xml:space="preserve">If a succession applicant wishes to challenge a decision on succession, they can do so in writing by email or letter. </w:t>
      </w:r>
    </w:p>
    <w:p w14:paraId="14AFCCAC" w14:textId="169DD310" w:rsidR="00746EF2" w:rsidRPr="007542B3" w:rsidRDefault="00482889" w:rsidP="0009090E">
      <w:pPr>
        <w:pStyle w:val="Level1"/>
        <w:numPr>
          <w:ilvl w:val="0"/>
          <w:numId w:val="0"/>
        </w:numPr>
        <w:ind w:left="426" w:hanging="426"/>
        <w:rPr>
          <w:sz w:val="22"/>
        </w:rPr>
      </w:pPr>
      <w:r w:rsidRPr="007542B3">
        <w:rPr>
          <w:sz w:val="22"/>
        </w:rPr>
        <w:t>12</w:t>
      </w:r>
      <w:r w:rsidR="0009090E" w:rsidRPr="007542B3">
        <w:rPr>
          <w:sz w:val="22"/>
        </w:rPr>
        <w:t>.2</w:t>
      </w:r>
      <w:r w:rsidR="0009090E" w:rsidRPr="007542B3">
        <w:rPr>
          <w:sz w:val="22"/>
        </w:rPr>
        <w:tab/>
      </w:r>
      <w:r w:rsidR="006708B2" w:rsidRPr="007542B3">
        <w:rPr>
          <w:sz w:val="22"/>
        </w:rPr>
        <w:t xml:space="preserve">The appeal </w:t>
      </w:r>
      <w:r w:rsidR="00CD54D6" w:rsidRPr="007542B3">
        <w:rPr>
          <w:sz w:val="22"/>
        </w:rPr>
        <w:t>should</w:t>
      </w:r>
      <w:r w:rsidR="006708B2" w:rsidRPr="007542B3">
        <w:rPr>
          <w:sz w:val="22"/>
        </w:rPr>
        <w:t xml:space="preserve"> set out why they feel the decision is not justified. </w:t>
      </w:r>
    </w:p>
    <w:p w14:paraId="12EA786D" w14:textId="7E2D36FC" w:rsidR="006708B2" w:rsidRPr="007542B3" w:rsidRDefault="00482889" w:rsidP="00ED4BE7">
      <w:pPr>
        <w:pStyle w:val="Level1"/>
        <w:numPr>
          <w:ilvl w:val="0"/>
          <w:numId w:val="0"/>
        </w:numPr>
        <w:ind w:left="720" w:hanging="720"/>
        <w:rPr>
          <w:sz w:val="22"/>
        </w:rPr>
      </w:pPr>
      <w:r w:rsidRPr="007542B3">
        <w:rPr>
          <w:sz w:val="22"/>
        </w:rPr>
        <w:t>12</w:t>
      </w:r>
      <w:r w:rsidR="0009090E" w:rsidRPr="007542B3">
        <w:rPr>
          <w:sz w:val="22"/>
        </w:rPr>
        <w:t>.3</w:t>
      </w:r>
      <w:r w:rsidR="00584F20" w:rsidRPr="007542B3">
        <w:rPr>
          <w:sz w:val="22"/>
        </w:rPr>
        <w:t xml:space="preserve"> </w:t>
      </w:r>
      <w:r w:rsidR="004A3EE4" w:rsidRPr="007542B3">
        <w:rPr>
          <w:sz w:val="22"/>
        </w:rPr>
        <w:tab/>
      </w:r>
      <w:r w:rsidR="00746EF2" w:rsidRPr="007542B3">
        <w:rPr>
          <w:sz w:val="22"/>
        </w:rPr>
        <w:t xml:space="preserve">The </w:t>
      </w:r>
      <w:r w:rsidR="000D4FB0" w:rsidRPr="007542B3">
        <w:rPr>
          <w:sz w:val="22"/>
        </w:rPr>
        <w:t>Neighbourhood Manager</w:t>
      </w:r>
      <w:r w:rsidR="00746EF2" w:rsidRPr="007542B3">
        <w:rPr>
          <w:sz w:val="22"/>
        </w:rPr>
        <w:t xml:space="preserve"> will review</w:t>
      </w:r>
      <w:r w:rsidR="006708B2" w:rsidRPr="007542B3">
        <w:rPr>
          <w:sz w:val="22"/>
        </w:rPr>
        <w:t xml:space="preserve"> the original decision</w:t>
      </w:r>
      <w:r w:rsidR="007C0300" w:rsidRPr="007542B3">
        <w:rPr>
          <w:sz w:val="22"/>
        </w:rPr>
        <w:t>.</w:t>
      </w:r>
      <w:r w:rsidR="006708B2" w:rsidRPr="007542B3">
        <w:rPr>
          <w:sz w:val="22"/>
        </w:rPr>
        <w:t xml:space="preserve"> </w:t>
      </w:r>
      <w:r w:rsidR="007C0300" w:rsidRPr="007542B3">
        <w:rPr>
          <w:sz w:val="22"/>
        </w:rPr>
        <w:t>They</w:t>
      </w:r>
      <w:r w:rsidR="006708B2" w:rsidRPr="007542B3">
        <w:rPr>
          <w:sz w:val="22"/>
        </w:rPr>
        <w:t xml:space="preserve"> will only uphold the appeal if they find that legal requirements or </w:t>
      </w:r>
      <w:r w:rsidR="007C0300" w:rsidRPr="007542B3">
        <w:rPr>
          <w:sz w:val="22"/>
        </w:rPr>
        <w:t>our</w:t>
      </w:r>
      <w:r w:rsidR="006708B2" w:rsidRPr="007542B3">
        <w:rPr>
          <w:sz w:val="22"/>
        </w:rPr>
        <w:t xml:space="preserve"> policy criteria </w:t>
      </w:r>
      <w:r w:rsidR="00F0149B" w:rsidRPr="007542B3">
        <w:rPr>
          <w:sz w:val="22"/>
        </w:rPr>
        <w:t xml:space="preserve">were </w:t>
      </w:r>
      <w:r w:rsidR="006708B2" w:rsidRPr="007542B3">
        <w:rPr>
          <w:sz w:val="22"/>
        </w:rPr>
        <w:t>not met</w:t>
      </w:r>
      <w:r w:rsidR="00F0149B" w:rsidRPr="007542B3">
        <w:rPr>
          <w:sz w:val="22"/>
        </w:rPr>
        <w:t xml:space="preserve"> in the original decision </w:t>
      </w:r>
    </w:p>
    <w:p w14:paraId="6F576C74" w14:textId="77777777" w:rsidR="00BB102E" w:rsidRPr="007542B3" w:rsidRDefault="00BB102E" w:rsidP="001B02CF">
      <w:pPr>
        <w:pStyle w:val="Level1"/>
        <w:keepNext/>
        <w:numPr>
          <w:ilvl w:val="0"/>
          <w:numId w:val="2"/>
        </w:numPr>
        <w:ind w:left="426" w:hanging="710"/>
        <w:rPr>
          <w:rStyle w:val="Level1asheadingtext"/>
          <w:b w:val="0"/>
          <w:sz w:val="22"/>
        </w:rPr>
      </w:pPr>
      <w:r w:rsidRPr="007542B3">
        <w:rPr>
          <w:rStyle w:val="Level1asheadingtext"/>
          <w:sz w:val="22"/>
        </w:rPr>
        <w:t>Responsibilities</w:t>
      </w:r>
    </w:p>
    <w:p w14:paraId="366511F7" w14:textId="1B99298E" w:rsidR="001F3D72" w:rsidRPr="007542B3" w:rsidRDefault="00482889" w:rsidP="00D535CB">
      <w:pPr>
        <w:pStyle w:val="Level1"/>
        <w:numPr>
          <w:ilvl w:val="0"/>
          <w:numId w:val="0"/>
        </w:numPr>
        <w:ind w:left="426" w:hanging="426"/>
        <w:rPr>
          <w:sz w:val="22"/>
        </w:rPr>
      </w:pPr>
      <w:r w:rsidRPr="007542B3">
        <w:rPr>
          <w:sz w:val="22"/>
        </w:rPr>
        <w:t>13</w:t>
      </w:r>
      <w:r w:rsidR="001F3D72" w:rsidRPr="007542B3">
        <w:rPr>
          <w:sz w:val="22"/>
        </w:rPr>
        <w:t xml:space="preserve">.1 </w:t>
      </w:r>
      <w:r w:rsidR="004A3EE4" w:rsidRPr="007542B3">
        <w:rPr>
          <w:sz w:val="22"/>
        </w:rPr>
        <w:tab/>
      </w:r>
      <w:r w:rsidR="001F3D72" w:rsidRPr="007542B3">
        <w:rPr>
          <w:sz w:val="22"/>
        </w:rPr>
        <w:t>The Head of Housing has overall responsibility for the op</w:t>
      </w:r>
      <w:r w:rsidR="001C7E92" w:rsidRPr="007542B3">
        <w:rPr>
          <w:sz w:val="22"/>
        </w:rPr>
        <w:t>eration of this policy</w:t>
      </w:r>
      <w:r w:rsidR="007548AB" w:rsidRPr="007542B3">
        <w:rPr>
          <w:sz w:val="22"/>
        </w:rPr>
        <w:t>.</w:t>
      </w:r>
    </w:p>
    <w:p w14:paraId="3B5F3AE0" w14:textId="7EA226AC" w:rsidR="00A03ABD" w:rsidRPr="002408A8" w:rsidRDefault="00482889" w:rsidP="00ED4BE7">
      <w:pPr>
        <w:pStyle w:val="Level1"/>
        <w:numPr>
          <w:ilvl w:val="0"/>
          <w:numId w:val="0"/>
        </w:numPr>
        <w:ind w:left="720" w:hanging="720"/>
        <w:rPr>
          <w:sz w:val="22"/>
        </w:rPr>
      </w:pPr>
      <w:r w:rsidRPr="007542B3">
        <w:rPr>
          <w:sz w:val="22"/>
        </w:rPr>
        <w:t>13</w:t>
      </w:r>
      <w:r w:rsidR="008D0393" w:rsidRPr="007542B3">
        <w:rPr>
          <w:sz w:val="22"/>
        </w:rPr>
        <w:t>.</w:t>
      </w:r>
      <w:r w:rsidR="00130189" w:rsidRPr="007542B3">
        <w:rPr>
          <w:sz w:val="22"/>
        </w:rPr>
        <w:t>2</w:t>
      </w:r>
      <w:r w:rsidR="00033626" w:rsidRPr="007542B3">
        <w:rPr>
          <w:sz w:val="22"/>
        </w:rPr>
        <w:tab/>
      </w:r>
      <w:r w:rsidR="00A03ABD" w:rsidRPr="007542B3">
        <w:rPr>
          <w:sz w:val="22"/>
        </w:rPr>
        <w:t xml:space="preserve">The </w:t>
      </w:r>
      <w:r w:rsidR="0083760A" w:rsidRPr="007542B3">
        <w:rPr>
          <w:sz w:val="22"/>
        </w:rPr>
        <w:t>Neighbourhood</w:t>
      </w:r>
      <w:r w:rsidR="00A03ABD" w:rsidRPr="007542B3">
        <w:rPr>
          <w:sz w:val="22"/>
        </w:rPr>
        <w:t xml:space="preserve"> Team will be responsible for the day</w:t>
      </w:r>
      <w:r w:rsidR="008720F3" w:rsidRPr="002408A8">
        <w:rPr>
          <w:sz w:val="22"/>
        </w:rPr>
        <w:t>-</w:t>
      </w:r>
      <w:r w:rsidR="00A03ABD" w:rsidRPr="007542B3">
        <w:rPr>
          <w:sz w:val="22"/>
        </w:rPr>
        <w:t>to</w:t>
      </w:r>
      <w:r w:rsidR="008720F3" w:rsidRPr="002408A8">
        <w:rPr>
          <w:sz w:val="22"/>
        </w:rPr>
        <w:t>-</w:t>
      </w:r>
      <w:r w:rsidR="00A03ABD" w:rsidRPr="007542B3">
        <w:rPr>
          <w:sz w:val="22"/>
        </w:rPr>
        <w:t>day implementation of the policy</w:t>
      </w:r>
      <w:r w:rsidR="00487708" w:rsidRPr="007542B3">
        <w:rPr>
          <w:sz w:val="22"/>
        </w:rPr>
        <w:t xml:space="preserve"> in general needs</w:t>
      </w:r>
      <w:r w:rsidR="008D7EA2" w:rsidRPr="007542B3">
        <w:rPr>
          <w:sz w:val="22"/>
        </w:rPr>
        <w:t>, Sheltered, Extra Care and KEFHA</w:t>
      </w:r>
      <w:r w:rsidR="00487708" w:rsidRPr="007542B3">
        <w:rPr>
          <w:sz w:val="22"/>
        </w:rPr>
        <w:t xml:space="preserve"> accommodation. </w:t>
      </w:r>
      <w:r w:rsidR="00A03ABD" w:rsidRPr="007542B3">
        <w:rPr>
          <w:sz w:val="22"/>
        </w:rPr>
        <w:t xml:space="preserve">A succession approval form is to be completed by a </w:t>
      </w:r>
      <w:r w:rsidR="00B5241A" w:rsidRPr="007542B3">
        <w:rPr>
          <w:sz w:val="22"/>
        </w:rPr>
        <w:t>Neighbourhood Housing</w:t>
      </w:r>
      <w:r w:rsidR="00A03ABD" w:rsidRPr="007542B3">
        <w:rPr>
          <w:sz w:val="22"/>
        </w:rPr>
        <w:t xml:space="preserve"> Officer (</w:t>
      </w:r>
      <w:r w:rsidR="00B5241A" w:rsidRPr="007542B3">
        <w:rPr>
          <w:sz w:val="22"/>
        </w:rPr>
        <w:t>NHO</w:t>
      </w:r>
      <w:r w:rsidR="00A03ABD" w:rsidRPr="007542B3">
        <w:rPr>
          <w:sz w:val="22"/>
        </w:rPr>
        <w:t>) and approved by their manager</w:t>
      </w:r>
      <w:r w:rsidR="00130189" w:rsidRPr="007542B3">
        <w:rPr>
          <w:sz w:val="22"/>
        </w:rPr>
        <w:t>.</w:t>
      </w:r>
      <w:r w:rsidR="00A03ABD" w:rsidRPr="007542B3">
        <w:rPr>
          <w:sz w:val="22"/>
        </w:rPr>
        <w:t xml:space="preserve"> </w:t>
      </w:r>
      <w:r w:rsidR="009E742A" w:rsidRPr="002408A8">
        <w:rPr>
          <w:sz w:val="22"/>
        </w:rPr>
        <w:t xml:space="preserve">If an applicant is not eligible to succeed, </w:t>
      </w:r>
      <w:r w:rsidR="00A6081E" w:rsidRPr="002408A8">
        <w:rPr>
          <w:sz w:val="22"/>
        </w:rPr>
        <w:t>the NHO</w:t>
      </w:r>
      <w:r w:rsidR="00EB7917" w:rsidRPr="002408A8">
        <w:rPr>
          <w:sz w:val="22"/>
        </w:rPr>
        <w:t xml:space="preserve"> </w:t>
      </w:r>
      <w:r w:rsidR="009E742A" w:rsidRPr="002408A8">
        <w:rPr>
          <w:sz w:val="22"/>
        </w:rPr>
        <w:t>will inform them and explain the reasons for refusing the claim.</w:t>
      </w:r>
    </w:p>
    <w:p w14:paraId="341D86AB" w14:textId="797CDA4D" w:rsidR="00880BF1" w:rsidRPr="007542B3" w:rsidRDefault="00880BF1" w:rsidP="00ED4BE7">
      <w:pPr>
        <w:pStyle w:val="Level1"/>
        <w:numPr>
          <w:ilvl w:val="0"/>
          <w:numId w:val="0"/>
        </w:numPr>
        <w:ind w:left="720" w:hanging="720"/>
        <w:rPr>
          <w:sz w:val="22"/>
        </w:rPr>
      </w:pPr>
      <w:r w:rsidRPr="007542B3">
        <w:rPr>
          <w:sz w:val="22"/>
        </w:rPr>
        <w:t>1</w:t>
      </w:r>
      <w:r w:rsidR="00482889" w:rsidRPr="007542B3">
        <w:rPr>
          <w:sz w:val="22"/>
        </w:rPr>
        <w:t>3</w:t>
      </w:r>
      <w:r w:rsidRPr="007542B3">
        <w:rPr>
          <w:sz w:val="22"/>
        </w:rPr>
        <w:t>.</w:t>
      </w:r>
      <w:r w:rsidR="00C33C9D" w:rsidRPr="007542B3">
        <w:rPr>
          <w:sz w:val="22"/>
        </w:rPr>
        <w:t>3</w:t>
      </w:r>
      <w:r w:rsidR="004A3EE4" w:rsidRPr="007542B3">
        <w:rPr>
          <w:sz w:val="22"/>
        </w:rPr>
        <w:tab/>
      </w:r>
      <w:r w:rsidRPr="007542B3">
        <w:rPr>
          <w:sz w:val="22"/>
        </w:rPr>
        <w:t xml:space="preserve">The NHO is responsible for service NTQ </w:t>
      </w:r>
      <w:r w:rsidR="00AD2EAE" w:rsidRPr="007542B3">
        <w:rPr>
          <w:sz w:val="22"/>
        </w:rPr>
        <w:t>to end the deceased’s tenancy as early as possible</w:t>
      </w:r>
      <w:r w:rsidR="004169EF" w:rsidRPr="007542B3">
        <w:rPr>
          <w:sz w:val="22"/>
        </w:rPr>
        <w:t xml:space="preserve"> and for following the process for serving NTQ on the Public Trustee</w:t>
      </w:r>
      <w:r w:rsidR="00C86544" w:rsidRPr="007542B3">
        <w:rPr>
          <w:sz w:val="22"/>
        </w:rPr>
        <w:t xml:space="preserve">.  </w:t>
      </w:r>
      <w:r w:rsidR="00BA4E6A" w:rsidRPr="007542B3">
        <w:rPr>
          <w:sz w:val="22"/>
        </w:rPr>
        <w:t xml:space="preserve">The NHO must inform the Allocations Team the week before expiry of the NTQ that a Use and Occupation Account must be set </w:t>
      </w:r>
      <w:r w:rsidR="005A454A" w:rsidRPr="007542B3">
        <w:rPr>
          <w:sz w:val="22"/>
        </w:rPr>
        <w:t>up and</w:t>
      </w:r>
      <w:r w:rsidR="00727D90" w:rsidRPr="007542B3">
        <w:rPr>
          <w:sz w:val="22"/>
        </w:rPr>
        <w:t xml:space="preserve"> inform the resident of the charges due.</w:t>
      </w:r>
    </w:p>
    <w:p w14:paraId="2AEB6F21" w14:textId="13071AED" w:rsidR="00FE381B" w:rsidRPr="007542B3" w:rsidRDefault="00482889" w:rsidP="00ED4BE7">
      <w:pPr>
        <w:pStyle w:val="Level1"/>
        <w:numPr>
          <w:ilvl w:val="0"/>
          <w:numId w:val="0"/>
        </w:numPr>
        <w:ind w:left="720" w:hanging="720"/>
        <w:rPr>
          <w:sz w:val="22"/>
        </w:rPr>
      </w:pPr>
      <w:r w:rsidRPr="007542B3">
        <w:rPr>
          <w:sz w:val="22"/>
        </w:rPr>
        <w:t>13</w:t>
      </w:r>
      <w:r w:rsidR="00FE381B" w:rsidRPr="007542B3">
        <w:rPr>
          <w:sz w:val="22"/>
        </w:rPr>
        <w:t>.</w:t>
      </w:r>
      <w:r w:rsidR="00C33C9D" w:rsidRPr="007542B3">
        <w:rPr>
          <w:sz w:val="22"/>
        </w:rPr>
        <w:t>4</w:t>
      </w:r>
      <w:r w:rsidR="00FE381B" w:rsidRPr="007542B3">
        <w:rPr>
          <w:sz w:val="22"/>
        </w:rPr>
        <w:tab/>
      </w:r>
      <w:r w:rsidR="00B021DF" w:rsidRPr="007542B3">
        <w:rPr>
          <w:sz w:val="22"/>
        </w:rPr>
        <w:t xml:space="preserve"> </w:t>
      </w:r>
      <w:r w:rsidR="00C33C9D" w:rsidRPr="007542B3">
        <w:rPr>
          <w:sz w:val="22"/>
        </w:rPr>
        <w:t>T</w:t>
      </w:r>
      <w:r w:rsidR="00FE381B" w:rsidRPr="007542B3">
        <w:rPr>
          <w:sz w:val="22"/>
        </w:rPr>
        <w:t>he NHO</w:t>
      </w:r>
      <w:r w:rsidR="00FF6036" w:rsidRPr="007542B3">
        <w:rPr>
          <w:sz w:val="22"/>
        </w:rPr>
        <w:t xml:space="preserve"> </w:t>
      </w:r>
      <w:r w:rsidR="00FE381B" w:rsidRPr="007542B3">
        <w:rPr>
          <w:sz w:val="22"/>
        </w:rPr>
        <w:t>is responsible for monitoring the U</w:t>
      </w:r>
      <w:r w:rsidR="005A454A" w:rsidRPr="007542B3">
        <w:rPr>
          <w:sz w:val="22"/>
        </w:rPr>
        <w:t>se</w:t>
      </w:r>
      <w:r w:rsidR="00FE381B" w:rsidRPr="007542B3">
        <w:rPr>
          <w:sz w:val="22"/>
        </w:rPr>
        <w:t xml:space="preserve"> and O</w:t>
      </w:r>
      <w:r w:rsidR="005A454A" w:rsidRPr="007542B3">
        <w:rPr>
          <w:sz w:val="22"/>
        </w:rPr>
        <w:t>ccupation</w:t>
      </w:r>
      <w:r w:rsidR="00FE381B" w:rsidRPr="007542B3">
        <w:rPr>
          <w:sz w:val="22"/>
        </w:rPr>
        <w:t xml:space="preserve"> account and taking appropriate legal action if payments are not maintained</w:t>
      </w:r>
      <w:r w:rsidR="00130189" w:rsidRPr="007542B3">
        <w:rPr>
          <w:sz w:val="22"/>
        </w:rPr>
        <w:t>.</w:t>
      </w:r>
    </w:p>
    <w:p w14:paraId="7066CA4C" w14:textId="519D9808" w:rsidR="00511609" w:rsidRPr="007542B3" w:rsidRDefault="00482889" w:rsidP="00ED4BE7">
      <w:pPr>
        <w:pStyle w:val="Level1"/>
        <w:numPr>
          <w:ilvl w:val="0"/>
          <w:numId w:val="0"/>
        </w:numPr>
        <w:ind w:left="720" w:hanging="720"/>
        <w:rPr>
          <w:sz w:val="22"/>
        </w:rPr>
      </w:pPr>
      <w:r w:rsidRPr="007542B3">
        <w:rPr>
          <w:sz w:val="22"/>
        </w:rPr>
        <w:t>13</w:t>
      </w:r>
      <w:r w:rsidR="00511609" w:rsidRPr="007542B3">
        <w:rPr>
          <w:sz w:val="22"/>
        </w:rPr>
        <w:t>.</w:t>
      </w:r>
      <w:r w:rsidRPr="007542B3">
        <w:rPr>
          <w:sz w:val="22"/>
        </w:rPr>
        <w:t xml:space="preserve">5 </w:t>
      </w:r>
      <w:r w:rsidR="004A3EE4" w:rsidRPr="007542B3">
        <w:rPr>
          <w:sz w:val="22"/>
        </w:rPr>
        <w:tab/>
      </w:r>
      <w:r w:rsidR="00A87EC1" w:rsidRPr="007542B3">
        <w:rPr>
          <w:sz w:val="22"/>
        </w:rPr>
        <w:t>The Allocations Team are responsible for setting up U</w:t>
      </w:r>
      <w:r w:rsidR="000054C6" w:rsidRPr="007542B3">
        <w:rPr>
          <w:sz w:val="22"/>
        </w:rPr>
        <w:t>se</w:t>
      </w:r>
      <w:r w:rsidR="00A87EC1" w:rsidRPr="007542B3">
        <w:rPr>
          <w:sz w:val="22"/>
        </w:rPr>
        <w:t xml:space="preserve"> and O</w:t>
      </w:r>
      <w:r w:rsidR="000054C6" w:rsidRPr="007542B3">
        <w:rPr>
          <w:sz w:val="22"/>
        </w:rPr>
        <w:t>ccupation</w:t>
      </w:r>
      <w:r w:rsidR="00A87EC1" w:rsidRPr="007542B3">
        <w:rPr>
          <w:sz w:val="22"/>
        </w:rPr>
        <w:t xml:space="preserve"> accounts</w:t>
      </w:r>
      <w:r w:rsidR="00C33C9D" w:rsidRPr="007542B3">
        <w:rPr>
          <w:sz w:val="22"/>
        </w:rPr>
        <w:t xml:space="preserve"> in the first week the charge is due</w:t>
      </w:r>
      <w:r w:rsidR="00130189" w:rsidRPr="007542B3">
        <w:rPr>
          <w:sz w:val="22"/>
        </w:rPr>
        <w:t>.</w:t>
      </w:r>
    </w:p>
    <w:p w14:paraId="0AB83447" w14:textId="0A260E20" w:rsidR="00A03ABD" w:rsidRPr="007542B3" w:rsidRDefault="00482889" w:rsidP="00ED4BE7">
      <w:pPr>
        <w:pStyle w:val="Level1"/>
        <w:numPr>
          <w:ilvl w:val="0"/>
          <w:numId w:val="0"/>
        </w:numPr>
        <w:ind w:left="720" w:hanging="720"/>
        <w:rPr>
          <w:sz w:val="22"/>
        </w:rPr>
      </w:pPr>
      <w:r w:rsidRPr="007542B3">
        <w:rPr>
          <w:sz w:val="22"/>
        </w:rPr>
        <w:lastRenderedPageBreak/>
        <w:t>13</w:t>
      </w:r>
      <w:r w:rsidR="000B6A7E" w:rsidRPr="007542B3">
        <w:rPr>
          <w:sz w:val="22"/>
        </w:rPr>
        <w:t>.</w:t>
      </w:r>
      <w:r w:rsidRPr="007542B3">
        <w:rPr>
          <w:sz w:val="22"/>
        </w:rPr>
        <w:t xml:space="preserve">6 </w:t>
      </w:r>
      <w:r w:rsidR="004A3EE4" w:rsidRPr="007542B3">
        <w:rPr>
          <w:sz w:val="22"/>
        </w:rPr>
        <w:tab/>
      </w:r>
      <w:r w:rsidR="004857D2" w:rsidRPr="007542B3">
        <w:rPr>
          <w:sz w:val="22"/>
        </w:rPr>
        <w:t xml:space="preserve">Within </w:t>
      </w:r>
      <w:r w:rsidR="008720F3" w:rsidRPr="002408A8">
        <w:rPr>
          <w:sz w:val="22"/>
        </w:rPr>
        <w:t>four</w:t>
      </w:r>
      <w:r w:rsidR="008D4F2D" w:rsidRPr="007542B3">
        <w:rPr>
          <w:sz w:val="22"/>
        </w:rPr>
        <w:t xml:space="preserve"> weeks of </w:t>
      </w:r>
      <w:r w:rsidR="00A03ABD" w:rsidRPr="007542B3">
        <w:rPr>
          <w:sz w:val="22"/>
        </w:rPr>
        <w:t>the succession approval</w:t>
      </w:r>
      <w:r w:rsidR="008D4F2D" w:rsidRPr="007542B3">
        <w:rPr>
          <w:sz w:val="22"/>
        </w:rPr>
        <w:t xml:space="preserve"> the NHO will visit the successor</w:t>
      </w:r>
      <w:r w:rsidR="00A03ABD" w:rsidRPr="007542B3">
        <w:rPr>
          <w:sz w:val="22"/>
        </w:rPr>
        <w:t xml:space="preserve"> to check there are no issues or see if any advice is needed to enable them to sustain their tenancy. </w:t>
      </w:r>
    </w:p>
    <w:p w14:paraId="57BA3C2B" w14:textId="1CD9E216" w:rsidR="00A03ABD" w:rsidRPr="007542B3" w:rsidRDefault="00482889" w:rsidP="00ED4BE7">
      <w:pPr>
        <w:pStyle w:val="Level1"/>
        <w:numPr>
          <w:ilvl w:val="0"/>
          <w:numId w:val="0"/>
        </w:numPr>
        <w:ind w:left="720" w:hanging="720"/>
        <w:rPr>
          <w:sz w:val="22"/>
        </w:rPr>
      </w:pPr>
      <w:r w:rsidRPr="007542B3">
        <w:rPr>
          <w:sz w:val="22"/>
        </w:rPr>
        <w:t>13.7</w:t>
      </w:r>
      <w:r w:rsidR="00B021DF" w:rsidRPr="007542B3">
        <w:rPr>
          <w:sz w:val="22"/>
        </w:rPr>
        <w:t xml:space="preserve"> </w:t>
      </w:r>
      <w:r w:rsidR="004A3EE4" w:rsidRPr="007542B3">
        <w:rPr>
          <w:sz w:val="22"/>
        </w:rPr>
        <w:tab/>
      </w:r>
      <w:r w:rsidR="00C00D94" w:rsidRPr="007542B3">
        <w:rPr>
          <w:sz w:val="22"/>
        </w:rPr>
        <w:t xml:space="preserve">Applications for </w:t>
      </w:r>
      <w:r w:rsidR="002667AD" w:rsidRPr="007542B3">
        <w:rPr>
          <w:sz w:val="22"/>
        </w:rPr>
        <w:t>direct lets</w:t>
      </w:r>
      <w:r w:rsidR="00C00D94" w:rsidRPr="007542B3">
        <w:rPr>
          <w:sz w:val="22"/>
        </w:rPr>
        <w:t xml:space="preserve"> who are awaiting alternative accommodation will be reviewed every two months</w:t>
      </w:r>
      <w:r w:rsidR="00130189" w:rsidRPr="007542B3">
        <w:rPr>
          <w:sz w:val="22"/>
        </w:rPr>
        <w:t xml:space="preserve"> by the Neighbourhoods and Allocations Teams.</w:t>
      </w:r>
      <w:r w:rsidR="009B012F" w:rsidRPr="007542B3">
        <w:rPr>
          <w:sz w:val="22"/>
        </w:rPr>
        <w:t xml:space="preserve">  The review will be </w:t>
      </w:r>
      <w:r w:rsidR="005B2A99" w:rsidRPr="007542B3">
        <w:rPr>
          <w:sz w:val="22"/>
        </w:rPr>
        <w:t>led</w:t>
      </w:r>
      <w:r w:rsidR="009B012F" w:rsidRPr="007542B3">
        <w:rPr>
          <w:sz w:val="22"/>
        </w:rPr>
        <w:t xml:space="preserve"> by the Head of Housing.</w:t>
      </w:r>
    </w:p>
    <w:p w14:paraId="4DAC7AB1" w14:textId="77777777" w:rsidR="00617B65" w:rsidRPr="002408A8" w:rsidRDefault="00617B65" w:rsidP="00FA44E0">
      <w:pPr>
        <w:rPr>
          <w:rFonts w:ascii="Arial" w:hAnsi="Arial" w:cs="Arial"/>
        </w:rPr>
      </w:pPr>
    </w:p>
    <w:p w14:paraId="3D3765E3" w14:textId="12565AFD" w:rsidR="00CE2902" w:rsidRPr="002408A8" w:rsidRDefault="00CE2902" w:rsidP="001B02CF">
      <w:pPr>
        <w:pStyle w:val="Level1"/>
        <w:keepNext/>
        <w:numPr>
          <w:ilvl w:val="0"/>
          <w:numId w:val="2"/>
        </w:numPr>
        <w:ind w:left="426" w:hanging="710"/>
        <w:rPr>
          <w:rStyle w:val="Level1asheadingtext"/>
          <w:b w:val="0"/>
          <w:sz w:val="22"/>
        </w:rPr>
      </w:pPr>
      <w:r w:rsidRPr="002408A8">
        <w:rPr>
          <w:rStyle w:val="Level1asheadingtext"/>
          <w:sz w:val="22"/>
        </w:rPr>
        <w:t>Regulation</w:t>
      </w:r>
      <w:r w:rsidR="007D0EF2" w:rsidRPr="002408A8">
        <w:rPr>
          <w:rStyle w:val="Level1asheadingtext"/>
          <w:sz w:val="22"/>
        </w:rPr>
        <w:t xml:space="preserve"> </w:t>
      </w:r>
      <w:r w:rsidR="008720F3" w:rsidRPr="002408A8">
        <w:rPr>
          <w:rStyle w:val="Level1asheadingtext"/>
          <w:sz w:val="22"/>
        </w:rPr>
        <w:t>and</w:t>
      </w:r>
      <w:r w:rsidR="007D0EF2" w:rsidRPr="002408A8">
        <w:rPr>
          <w:rStyle w:val="Level1asheadingtext"/>
          <w:sz w:val="22"/>
        </w:rPr>
        <w:t xml:space="preserve"> Legislation</w:t>
      </w:r>
    </w:p>
    <w:p w14:paraId="679C1594" w14:textId="6734D4D5" w:rsidR="00EC4A0D" w:rsidRPr="007542B3" w:rsidRDefault="00EB1E96" w:rsidP="002D0F9A">
      <w:pPr>
        <w:pStyle w:val="Level2"/>
        <w:rPr>
          <w:sz w:val="22"/>
        </w:rPr>
      </w:pPr>
      <w:r w:rsidRPr="007542B3">
        <w:rPr>
          <w:sz w:val="22"/>
        </w:rPr>
        <w:t>The Tenancy Standards states that r</w:t>
      </w:r>
      <w:r w:rsidR="00CB0CA4" w:rsidRPr="007542B3">
        <w:rPr>
          <w:sz w:val="22"/>
        </w:rPr>
        <w:t>egistered providers must allocate and let their homes in a fair and transparent way that takes the needs of tenants and prospective tenants into account</w:t>
      </w:r>
      <w:r w:rsidR="005A0889" w:rsidRPr="007542B3">
        <w:rPr>
          <w:sz w:val="22"/>
        </w:rPr>
        <w:t xml:space="preserve"> and that t</w:t>
      </w:r>
      <w:r w:rsidR="00EC4A0D" w:rsidRPr="007542B3">
        <w:rPr>
          <w:sz w:val="22"/>
        </w:rPr>
        <w:t>heir polic</w:t>
      </w:r>
      <w:r w:rsidR="00B4461E" w:rsidRPr="007542B3">
        <w:rPr>
          <w:sz w:val="22"/>
        </w:rPr>
        <w:t>ies m</w:t>
      </w:r>
      <w:r w:rsidR="00277CC6" w:rsidRPr="007542B3">
        <w:rPr>
          <w:sz w:val="22"/>
        </w:rPr>
        <w:t>u</w:t>
      </w:r>
      <w:r w:rsidR="00B4461E" w:rsidRPr="007542B3">
        <w:rPr>
          <w:sz w:val="22"/>
        </w:rPr>
        <w:t>st set out their position</w:t>
      </w:r>
      <w:r w:rsidR="00EC4A0D" w:rsidRPr="007542B3">
        <w:rPr>
          <w:sz w:val="22"/>
        </w:rPr>
        <w:t xml:space="preserve"> on granting discretionary succession rights, taking account of the needs of vulnerable household members.</w:t>
      </w:r>
    </w:p>
    <w:p w14:paraId="5F70C8A1" w14:textId="794EB4B6" w:rsidR="00253183" w:rsidRPr="007542B3" w:rsidRDefault="00253183" w:rsidP="00253183">
      <w:pPr>
        <w:pStyle w:val="Level2"/>
        <w:rPr>
          <w:sz w:val="22"/>
        </w:rPr>
      </w:pPr>
      <w:r w:rsidRPr="007542B3">
        <w:rPr>
          <w:sz w:val="22"/>
        </w:rPr>
        <w:t xml:space="preserve">The Localism Act 2011 altered the process for contractual succession rights for family members of assured tenants if their tenancies started on or after 1st April 2012. It also amended section 17 of the 1988 Act to extend the statutory right of succession of assured tenants to tenants with a fixed term assured shorthold tenancy of </w:t>
      </w:r>
      <w:r w:rsidR="002408A8" w:rsidRPr="002408A8">
        <w:rPr>
          <w:sz w:val="22"/>
        </w:rPr>
        <w:t>two</w:t>
      </w:r>
      <w:r w:rsidRPr="007542B3">
        <w:rPr>
          <w:sz w:val="22"/>
        </w:rPr>
        <w:t xml:space="preserve"> years or more. </w:t>
      </w:r>
    </w:p>
    <w:p w14:paraId="04CDB643" w14:textId="77777777" w:rsidR="00253183" w:rsidRPr="007542B3" w:rsidRDefault="00253183" w:rsidP="00253183">
      <w:pPr>
        <w:pStyle w:val="Level2"/>
        <w:rPr>
          <w:sz w:val="22"/>
        </w:rPr>
      </w:pPr>
      <w:r w:rsidRPr="007542B3">
        <w:rPr>
          <w:sz w:val="22"/>
        </w:rPr>
        <w:t xml:space="preserve">The 1988 Act was amended by: </w:t>
      </w:r>
    </w:p>
    <w:p w14:paraId="62D5DFC9" w14:textId="5EFE4160" w:rsidR="00253183" w:rsidRPr="007542B3" w:rsidRDefault="00253183" w:rsidP="001B02CF">
      <w:pPr>
        <w:pStyle w:val="Level2"/>
        <w:numPr>
          <w:ilvl w:val="0"/>
          <w:numId w:val="11"/>
        </w:numPr>
        <w:rPr>
          <w:sz w:val="22"/>
        </w:rPr>
      </w:pPr>
      <w:r w:rsidRPr="007542B3">
        <w:rPr>
          <w:sz w:val="22"/>
        </w:rPr>
        <w:t xml:space="preserve">The Civil Partnerships Act 2004 which extended statutory succession rights to same sex couples; and </w:t>
      </w:r>
    </w:p>
    <w:p w14:paraId="41F70BBE" w14:textId="2A674759" w:rsidR="00253183" w:rsidRPr="007542B3" w:rsidRDefault="00253183" w:rsidP="001B02CF">
      <w:pPr>
        <w:pStyle w:val="Level2"/>
        <w:numPr>
          <w:ilvl w:val="0"/>
          <w:numId w:val="11"/>
        </w:numPr>
        <w:rPr>
          <w:sz w:val="22"/>
        </w:rPr>
      </w:pPr>
      <w:r w:rsidRPr="007542B3">
        <w:rPr>
          <w:sz w:val="22"/>
        </w:rPr>
        <w:t xml:space="preserve">The Marriage (Same Sex Couples) Act 2013 which states all references to marriage in legislation shall be read as including a reference to marriage of a same sex couple. </w:t>
      </w:r>
    </w:p>
    <w:p w14:paraId="0B16321E" w14:textId="332EF063" w:rsidR="00215D7B" w:rsidRPr="007542B3" w:rsidRDefault="000637C7" w:rsidP="00C4148D">
      <w:pPr>
        <w:pStyle w:val="Level2"/>
        <w:rPr>
          <w:sz w:val="22"/>
        </w:rPr>
      </w:pPr>
      <w:r w:rsidRPr="007542B3">
        <w:rPr>
          <w:sz w:val="22"/>
        </w:rPr>
        <w:t xml:space="preserve">The Family Law Act </w:t>
      </w:r>
      <w:r w:rsidR="00BD5584" w:rsidRPr="007542B3">
        <w:rPr>
          <w:sz w:val="22"/>
        </w:rPr>
        <w:t>1996 as amended by the Civil Partnership Act</w:t>
      </w:r>
    </w:p>
    <w:p w14:paraId="2A3AF753" w14:textId="4AA276B0" w:rsidR="00C4148D" w:rsidRPr="007542B3" w:rsidRDefault="00C4148D" w:rsidP="00C4148D">
      <w:pPr>
        <w:pStyle w:val="Level2"/>
        <w:numPr>
          <w:ilvl w:val="0"/>
          <w:numId w:val="0"/>
        </w:numPr>
        <w:ind w:left="992"/>
        <w:rPr>
          <w:sz w:val="22"/>
        </w:rPr>
      </w:pPr>
      <w:r w:rsidRPr="007542B3">
        <w:rPr>
          <w:sz w:val="22"/>
        </w:rPr>
        <w:t>Sets out rights of non</w:t>
      </w:r>
      <w:r w:rsidR="00816FD7" w:rsidRPr="007542B3">
        <w:rPr>
          <w:sz w:val="22"/>
        </w:rPr>
        <w:t>-</w:t>
      </w:r>
      <w:r w:rsidRPr="007542B3">
        <w:rPr>
          <w:sz w:val="22"/>
        </w:rPr>
        <w:t>tenants</w:t>
      </w:r>
      <w:r w:rsidR="002408A8" w:rsidRPr="002408A8">
        <w:rPr>
          <w:sz w:val="22"/>
        </w:rPr>
        <w:t>,</w:t>
      </w:r>
      <w:r w:rsidRPr="007542B3">
        <w:rPr>
          <w:sz w:val="22"/>
        </w:rPr>
        <w:t xml:space="preserve"> spouses and civil partners to retain occupation of the matri</w:t>
      </w:r>
      <w:r w:rsidR="006F2A7E" w:rsidRPr="007542B3">
        <w:rPr>
          <w:sz w:val="22"/>
        </w:rPr>
        <w:t>monial home.</w:t>
      </w:r>
    </w:p>
    <w:p w14:paraId="5624D5B9" w14:textId="69FDBB88" w:rsidR="006C6C33" w:rsidRPr="007542B3" w:rsidRDefault="006C6C33" w:rsidP="006C6C33">
      <w:pPr>
        <w:pStyle w:val="Level2"/>
        <w:rPr>
          <w:sz w:val="22"/>
        </w:rPr>
      </w:pPr>
      <w:r w:rsidRPr="007542B3">
        <w:rPr>
          <w:sz w:val="22"/>
        </w:rPr>
        <w:t>Immigration Act 2014</w:t>
      </w:r>
    </w:p>
    <w:p w14:paraId="4954BCC7" w14:textId="6A8CC6DB" w:rsidR="002D46B4" w:rsidRPr="007542B3" w:rsidRDefault="002D46B4" w:rsidP="002D46B4">
      <w:pPr>
        <w:pStyle w:val="Level2"/>
        <w:numPr>
          <w:ilvl w:val="0"/>
          <w:numId w:val="0"/>
        </w:numPr>
        <w:ind w:left="992"/>
        <w:rPr>
          <w:sz w:val="22"/>
        </w:rPr>
      </w:pPr>
      <w:r w:rsidRPr="007542B3">
        <w:rPr>
          <w:sz w:val="22"/>
        </w:rPr>
        <w:t>Sets out how we apply Right to Rent Checks</w:t>
      </w:r>
    </w:p>
    <w:p w14:paraId="6D8D7147" w14:textId="77777777" w:rsidR="00215D7B" w:rsidRPr="007542B3" w:rsidRDefault="00215D7B" w:rsidP="001B02CF">
      <w:pPr>
        <w:pStyle w:val="Level1"/>
        <w:keepNext/>
        <w:numPr>
          <w:ilvl w:val="0"/>
          <w:numId w:val="2"/>
        </w:numPr>
        <w:ind w:left="426" w:hanging="710"/>
        <w:rPr>
          <w:rStyle w:val="Level1asheadingtext"/>
          <w:b w:val="0"/>
          <w:sz w:val="22"/>
        </w:rPr>
      </w:pPr>
      <w:r w:rsidRPr="007542B3">
        <w:rPr>
          <w:rStyle w:val="Level1asheadingtext"/>
          <w:sz w:val="22"/>
        </w:rPr>
        <w:t>Reporting</w:t>
      </w:r>
    </w:p>
    <w:p w14:paraId="47B0B6A2" w14:textId="298729FB" w:rsidR="00641A20" w:rsidRPr="007542B3" w:rsidRDefault="00641A20" w:rsidP="004E1CEB">
      <w:pPr>
        <w:ind w:left="426"/>
        <w:rPr>
          <w:rFonts w:ascii="Arial" w:hAnsi="Arial" w:cs="Arial"/>
        </w:rPr>
      </w:pPr>
      <w:r w:rsidRPr="007542B3">
        <w:rPr>
          <w:rFonts w:ascii="Arial" w:hAnsi="Arial" w:cs="Arial"/>
        </w:rPr>
        <w:t xml:space="preserve">At key stages in the process the </w:t>
      </w:r>
      <w:r w:rsidR="00C11ACB" w:rsidRPr="007542B3">
        <w:rPr>
          <w:rFonts w:ascii="Arial" w:hAnsi="Arial" w:cs="Arial"/>
        </w:rPr>
        <w:t xml:space="preserve">Neighbourhood </w:t>
      </w:r>
      <w:r w:rsidRPr="007542B3">
        <w:rPr>
          <w:rFonts w:ascii="Arial" w:hAnsi="Arial" w:cs="Arial"/>
        </w:rPr>
        <w:t xml:space="preserve">Manager will check to </w:t>
      </w:r>
      <w:r w:rsidR="002D4FFA" w:rsidRPr="007542B3">
        <w:rPr>
          <w:rFonts w:ascii="Arial" w:hAnsi="Arial" w:cs="Arial"/>
        </w:rPr>
        <w:t xml:space="preserve">cases to ensure that the succession policy and Standard Operation Procedures are complied with. </w:t>
      </w:r>
      <w:r w:rsidR="00751A3E" w:rsidRPr="007542B3">
        <w:rPr>
          <w:rFonts w:ascii="Arial" w:hAnsi="Arial" w:cs="Arial"/>
        </w:rPr>
        <w:t>All Use and Occupation cases are reported on the tenancy dashboard and will be monitored every two months.</w:t>
      </w:r>
    </w:p>
    <w:p w14:paraId="0320E674" w14:textId="77777777" w:rsidR="009A1ABB" w:rsidRPr="007542B3" w:rsidRDefault="009A1ABB" w:rsidP="001B02CF">
      <w:pPr>
        <w:pStyle w:val="Level1"/>
        <w:keepNext/>
        <w:numPr>
          <w:ilvl w:val="0"/>
          <w:numId w:val="2"/>
        </w:numPr>
        <w:ind w:left="426" w:hanging="710"/>
        <w:rPr>
          <w:rStyle w:val="Level1asheadingtext"/>
          <w:b w:val="0"/>
          <w:sz w:val="22"/>
        </w:rPr>
      </w:pPr>
      <w:r w:rsidRPr="007542B3">
        <w:rPr>
          <w:rStyle w:val="Level1asheadingtext"/>
          <w:sz w:val="22"/>
        </w:rPr>
        <w:lastRenderedPageBreak/>
        <w:t>Consultation</w:t>
      </w:r>
    </w:p>
    <w:p w14:paraId="4EA1EF70" w14:textId="6912B890" w:rsidR="009A1ABB" w:rsidRPr="007542B3" w:rsidRDefault="00B761B3" w:rsidP="004E1CEB">
      <w:pPr>
        <w:ind w:left="426"/>
        <w:rPr>
          <w:rFonts w:ascii="Arial" w:hAnsi="Arial" w:cs="Arial"/>
        </w:rPr>
      </w:pPr>
      <w:r w:rsidRPr="007542B3">
        <w:rPr>
          <w:rFonts w:ascii="Arial" w:hAnsi="Arial" w:cs="Arial"/>
        </w:rPr>
        <w:t>An Equality Impact and Resident Impact Assessment have been complete</w:t>
      </w:r>
      <w:r w:rsidR="004C6FD8">
        <w:rPr>
          <w:rFonts w:ascii="Arial" w:hAnsi="Arial" w:cs="Arial"/>
        </w:rPr>
        <w:t>d</w:t>
      </w:r>
      <w:r w:rsidRPr="007542B3">
        <w:rPr>
          <w:rFonts w:ascii="Arial" w:hAnsi="Arial" w:cs="Arial"/>
        </w:rPr>
        <w:t xml:space="preserve">. This policy is largely a statement of the legal position with regards to </w:t>
      </w:r>
      <w:r w:rsidR="00995BBC" w:rsidRPr="007542B3">
        <w:rPr>
          <w:rFonts w:ascii="Arial" w:hAnsi="Arial" w:cs="Arial"/>
        </w:rPr>
        <w:t>succession,</w:t>
      </w:r>
      <w:r w:rsidRPr="007542B3">
        <w:rPr>
          <w:rFonts w:ascii="Arial" w:hAnsi="Arial" w:cs="Arial"/>
        </w:rPr>
        <w:t xml:space="preserve"> </w:t>
      </w:r>
      <w:r w:rsidR="00B41C43" w:rsidRPr="007542B3">
        <w:rPr>
          <w:rFonts w:ascii="Arial" w:hAnsi="Arial" w:cs="Arial"/>
        </w:rPr>
        <w:t xml:space="preserve">so consultation </w:t>
      </w:r>
      <w:r w:rsidR="00995BBC" w:rsidRPr="007542B3">
        <w:rPr>
          <w:rFonts w:ascii="Arial" w:hAnsi="Arial" w:cs="Arial"/>
        </w:rPr>
        <w:t xml:space="preserve">was </w:t>
      </w:r>
      <w:r w:rsidR="00B41C43" w:rsidRPr="007542B3">
        <w:rPr>
          <w:rFonts w:ascii="Arial" w:hAnsi="Arial" w:cs="Arial"/>
        </w:rPr>
        <w:t>not appropriate</w:t>
      </w:r>
    </w:p>
    <w:p w14:paraId="3CE72A5D" w14:textId="77777777" w:rsidR="00B51DDC" w:rsidRPr="007542B3" w:rsidRDefault="00B51DDC" w:rsidP="001B02CF">
      <w:pPr>
        <w:pStyle w:val="Level1"/>
        <w:keepNext/>
        <w:numPr>
          <w:ilvl w:val="0"/>
          <w:numId w:val="2"/>
        </w:numPr>
        <w:ind w:left="426" w:hanging="710"/>
        <w:rPr>
          <w:rStyle w:val="Level1asheadingtext"/>
          <w:b w:val="0"/>
          <w:sz w:val="22"/>
        </w:rPr>
      </w:pPr>
      <w:r w:rsidRPr="007542B3">
        <w:rPr>
          <w:rStyle w:val="Level1asheadingtext"/>
          <w:sz w:val="22"/>
        </w:rPr>
        <w:t>Communication</w:t>
      </w:r>
    </w:p>
    <w:p w14:paraId="5ABA7A2F" w14:textId="07B80596" w:rsidR="008806E3" w:rsidRDefault="00B41C43" w:rsidP="00225F8A">
      <w:pPr>
        <w:ind w:left="426"/>
        <w:rPr>
          <w:rFonts w:ascii="Arial" w:hAnsi="Arial" w:cs="Arial"/>
        </w:rPr>
      </w:pPr>
      <w:r w:rsidRPr="007542B3">
        <w:rPr>
          <w:rFonts w:ascii="Arial" w:hAnsi="Arial" w:cs="Arial"/>
        </w:rPr>
        <w:t>This policy will be published on Bettie</w:t>
      </w:r>
      <w:r w:rsidR="0058512E" w:rsidRPr="007542B3">
        <w:rPr>
          <w:rFonts w:ascii="Arial" w:hAnsi="Arial" w:cs="Arial"/>
        </w:rPr>
        <w:t xml:space="preserve"> and on the website</w:t>
      </w:r>
      <w:r w:rsidR="00075EB0">
        <w:rPr>
          <w:rFonts w:ascii="Arial" w:hAnsi="Arial" w:cs="Arial"/>
        </w:rPr>
        <w:t>.</w:t>
      </w:r>
    </w:p>
    <w:p w14:paraId="194902B8" w14:textId="7CA753CF" w:rsidR="002D46B4" w:rsidRPr="007542B3" w:rsidRDefault="0047262E" w:rsidP="00B943B1">
      <w:pPr>
        <w:pStyle w:val="Level1"/>
        <w:keepNext/>
        <w:numPr>
          <w:ilvl w:val="0"/>
          <w:numId w:val="2"/>
        </w:numPr>
        <w:ind w:left="426" w:hanging="710"/>
        <w:rPr>
          <w:rStyle w:val="Level1asheadingtext"/>
          <w:sz w:val="22"/>
        </w:rPr>
      </w:pPr>
      <w:r w:rsidRPr="007542B3">
        <w:rPr>
          <w:rStyle w:val="Level1asheadingtext"/>
          <w:sz w:val="22"/>
        </w:rPr>
        <w:t>Appendix 1</w:t>
      </w:r>
    </w:p>
    <w:p w14:paraId="67447E17" w14:textId="69909C82" w:rsidR="00E25C1D" w:rsidRPr="007542B3" w:rsidRDefault="00E25C1D" w:rsidP="00E25C1D">
      <w:pPr>
        <w:rPr>
          <w:rFonts w:ascii="Arial" w:hAnsi="Arial" w:cs="Arial"/>
        </w:rPr>
      </w:pPr>
      <w:r w:rsidRPr="007542B3">
        <w:rPr>
          <w:rFonts w:ascii="Arial" w:hAnsi="Arial" w:cs="Arial"/>
        </w:rPr>
        <w:t>Re</w:t>
      </w:r>
      <w:r w:rsidR="00232C36" w:rsidRPr="007542B3">
        <w:rPr>
          <w:rFonts w:ascii="Arial" w:hAnsi="Arial" w:cs="Arial"/>
        </w:rPr>
        <w:t xml:space="preserve">sident </w:t>
      </w:r>
      <w:r w:rsidRPr="007542B3">
        <w:rPr>
          <w:rFonts w:ascii="Arial" w:hAnsi="Arial" w:cs="Arial"/>
        </w:rPr>
        <w:t xml:space="preserve">Equality and Risk Impact Assessment      </w:t>
      </w:r>
      <w:r w:rsidRPr="007542B3">
        <w:rPr>
          <w:rFonts w:ascii="Arial" w:hAnsi="Arial" w:cs="Arial"/>
        </w:rPr>
        <w:tab/>
      </w:r>
    </w:p>
    <w:p w14:paraId="044E2BBE" w14:textId="77777777" w:rsidR="00E25C1D" w:rsidRPr="007542B3" w:rsidRDefault="00E25C1D" w:rsidP="00E25C1D">
      <w:pPr>
        <w:rPr>
          <w:rFonts w:ascii="Arial" w:hAnsi="Arial" w:cs="Arial"/>
        </w:rPr>
      </w:pPr>
    </w:p>
    <w:tbl>
      <w:tblPr>
        <w:tblW w:w="10090" w:type="dxa"/>
        <w:tblInd w:w="-4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73"/>
        <w:gridCol w:w="7017"/>
      </w:tblGrid>
      <w:tr w:rsidR="00E25C1D" w:rsidRPr="002408A8" w14:paraId="73F6FABC" w14:textId="77777777" w:rsidTr="00E25C1D">
        <w:trPr>
          <w:trHeight w:val="567"/>
        </w:trPr>
        <w:tc>
          <w:tcPr>
            <w:tcW w:w="3073" w:type="dxa"/>
            <w:shd w:val="clear" w:color="auto" w:fill="BDD6EE"/>
            <w:vAlign w:val="center"/>
          </w:tcPr>
          <w:p w14:paraId="45F0D637" w14:textId="77777777" w:rsidR="00E25C1D" w:rsidRPr="007542B3" w:rsidRDefault="00E25C1D" w:rsidP="002D0F9A">
            <w:pPr>
              <w:rPr>
                <w:rFonts w:ascii="Arial" w:hAnsi="Arial" w:cs="Arial"/>
                <w:b/>
              </w:rPr>
            </w:pPr>
            <w:r w:rsidRPr="007542B3">
              <w:rPr>
                <w:rFonts w:ascii="Arial" w:hAnsi="Arial" w:cs="Arial"/>
                <w:b/>
              </w:rPr>
              <w:t>Name:</w:t>
            </w:r>
          </w:p>
        </w:tc>
        <w:tc>
          <w:tcPr>
            <w:tcW w:w="7017" w:type="dxa"/>
            <w:shd w:val="clear" w:color="auto" w:fill="auto"/>
            <w:vAlign w:val="center"/>
          </w:tcPr>
          <w:p w14:paraId="4356CCAE" w14:textId="77777777" w:rsidR="00E25C1D" w:rsidRPr="007542B3" w:rsidRDefault="00E25C1D" w:rsidP="002D0F9A">
            <w:pPr>
              <w:rPr>
                <w:rFonts w:ascii="Arial" w:hAnsi="Arial" w:cs="Arial"/>
                <w:bCs/>
              </w:rPr>
            </w:pPr>
          </w:p>
        </w:tc>
      </w:tr>
      <w:tr w:rsidR="00E25C1D" w:rsidRPr="002408A8" w14:paraId="34DC99FF" w14:textId="77777777" w:rsidTr="00E25C1D">
        <w:tc>
          <w:tcPr>
            <w:tcW w:w="3073" w:type="dxa"/>
            <w:shd w:val="clear" w:color="auto" w:fill="BDD6EE"/>
            <w:vAlign w:val="center"/>
          </w:tcPr>
          <w:p w14:paraId="64FE0218" w14:textId="77777777" w:rsidR="00E25C1D" w:rsidRPr="007542B3" w:rsidRDefault="00E25C1D" w:rsidP="002D0F9A">
            <w:pPr>
              <w:rPr>
                <w:rFonts w:ascii="Arial" w:hAnsi="Arial" w:cs="Arial"/>
                <w:b/>
              </w:rPr>
            </w:pPr>
            <w:r w:rsidRPr="007542B3">
              <w:rPr>
                <w:rFonts w:ascii="Arial" w:hAnsi="Arial" w:cs="Arial"/>
                <w:b/>
              </w:rPr>
              <w:t>Address</w:t>
            </w:r>
          </w:p>
        </w:tc>
        <w:tc>
          <w:tcPr>
            <w:tcW w:w="7017" w:type="dxa"/>
            <w:shd w:val="clear" w:color="auto" w:fill="auto"/>
            <w:vAlign w:val="center"/>
          </w:tcPr>
          <w:p w14:paraId="7FA34009" w14:textId="77777777" w:rsidR="00E25C1D" w:rsidRPr="007542B3" w:rsidRDefault="00E25C1D" w:rsidP="002D0F9A">
            <w:pPr>
              <w:rPr>
                <w:rFonts w:ascii="Arial" w:hAnsi="Arial" w:cs="Arial"/>
                <w:b/>
              </w:rPr>
            </w:pPr>
          </w:p>
        </w:tc>
      </w:tr>
      <w:tr w:rsidR="00E25C1D" w:rsidRPr="002408A8" w14:paraId="54C0C82A" w14:textId="77777777" w:rsidTr="00E25C1D">
        <w:tc>
          <w:tcPr>
            <w:tcW w:w="3073" w:type="dxa"/>
            <w:shd w:val="clear" w:color="auto" w:fill="BDD6EE"/>
            <w:vAlign w:val="center"/>
          </w:tcPr>
          <w:p w14:paraId="0E0CA7E0" w14:textId="77777777" w:rsidR="00E25C1D" w:rsidRPr="007542B3" w:rsidRDefault="00E25C1D" w:rsidP="002D0F9A">
            <w:pPr>
              <w:rPr>
                <w:rFonts w:ascii="Arial" w:hAnsi="Arial" w:cs="Arial"/>
                <w:b/>
              </w:rPr>
            </w:pPr>
            <w:r w:rsidRPr="007542B3">
              <w:rPr>
                <w:rFonts w:ascii="Arial" w:hAnsi="Arial" w:cs="Arial"/>
                <w:b/>
              </w:rPr>
              <w:t>Tenancy Type and start</w:t>
            </w:r>
          </w:p>
        </w:tc>
        <w:tc>
          <w:tcPr>
            <w:tcW w:w="7017" w:type="dxa"/>
            <w:shd w:val="clear" w:color="auto" w:fill="auto"/>
            <w:vAlign w:val="center"/>
          </w:tcPr>
          <w:p w14:paraId="169106DB" w14:textId="77777777" w:rsidR="00E25C1D" w:rsidRPr="007542B3" w:rsidRDefault="00E25C1D" w:rsidP="002D0F9A">
            <w:pPr>
              <w:rPr>
                <w:rFonts w:ascii="Arial" w:hAnsi="Arial" w:cs="Arial"/>
                <w:bCs/>
              </w:rPr>
            </w:pPr>
          </w:p>
        </w:tc>
      </w:tr>
      <w:tr w:rsidR="00E25C1D" w:rsidRPr="002408A8" w14:paraId="647C6D1A" w14:textId="77777777" w:rsidTr="00E25C1D">
        <w:tc>
          <w:tcPr>
            <w:tcW w:w="3073" w:type="dxa"/>
            <w:tcBorders>
              <w:top w:val="single" w:sz="6" w:space="0" w:color="000080"/>
              <w:left w:val="single" w:sz="6" w:space="0" w:color="000080"/>
              <w:bottom w:val="single" w:sz="6" w:space="0" w:color="000080"/>
              <w:right w:val="single" w:sz="6" w:space="0" w:color="000080"/>
            </w:tcBorders>
            <w:shd w:val="clear" w:color="auto" w:fill="BDD6EE"/>
            <w:vAlign w:val="center"/>
          </w:tcPr>
          <w:p w14:paraId="02CBCD7A" w14:textId="77777777" w:rsidR="00E25C1D" w:rsidRPr="007542B3" w:rsidRDefault="00E25C1D" w:rsidP="002D0F9A">
            <w:pPr>
              <w:rPr>
                <w:rFonts w:ascii="Arial" w:hAnsi="Arial" w:cs="Arial"/>
                <w:b/>
              </w:rPr>
            </w:pPr>
            <w:r w:rsidRPr="007542B3">
              <w:rPr>
                <w:rFonts w:ascii="Arial" w:hAnsi="Arial" w:cs="Arial"/>
                <w:b/>
              </w:rPr>
              <w:t>Reason for completion of Equality and Risk Assessment</w:t>
            </w:r>
          </w:p>
          <w:p w14:paraId="5F96691B" w14:textId="77777777" w:rsidR="00E25C1D" w:rsidRPr="007542B3" w:rsidRDefault="00E25C1D" w:rsidP="002D0F9A">
            <w:pPr>
              <w:rPr>
                <w:rFonts w:ascii="Arial" w:hAnsi="Arial" w:cs="Arial"/>
                <w:b/>
              </w:rPr>
            </w:pPr>
          </w:p>
        </w:tc>
        <w:tc>
          <w:tcPr>
            <w:tcW w:w="701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284B1BF6" w14:textId="77777777" w:rsidR="00E25C1D" w:rsidRPr="007542B3" w:rsidRDefault="00E25C1D" w:rsidP="002D0F9A">
            <w:pPr>
              <w:rPr>
                <w:rFonts w:ascii="Arial" w:hAnsi="Arial" w:cs="Arial"/>
                <w:bCs/>
              </w:rPr>
            </w:pPr>
          </w:p>
        </w:tc>
      </w:tr>
      <w:tr w:rsidR="00E25C1D" w:rsidRPr="002408A8" w14:paraId="5E548937" w14:textId="77777777" w:rsidTr="00E25C1D">
        <w:trPr>
          <w:trHeight w:val="1939"/>
        </w:trPr>
        <w:tc>
          <w:tcPr>
            <w:tcW w:w="3073" w:type="dxa"/>
            <w:tcBorders>
              <w:top w:val="single" w:sz="6" w:space="0" w:color="000080"/>
              <w:left w:val="single" w:sz="6" w:space="0" w:color="000080"/>
              <w:bottom w:val="single" w:sz="6" w:space="0" w:color="000080"/>
              <w:right w:val="single" w:sz="6" w:space="0" w:color="000080"/>
            </w:tcBorders>
            <w:shd w:val="clear" w:color="auto" w:fill="BDD6EE"/>
            <w:vAlign w:val="center"/>
          </w:tcPr>
          <w:p w14:paraId="14727C41" w14:textId="77777777" w:rsidR="00E25C1D" w:rsidRPr="007542B3" w:rsidRDefault="00E25C1D" w:rsidP="002D0F9A">
            <w:pPr>
              <w:rPr>
                <w:rFonts w:ascii="Arial" w:hAnsi="Arial" w:cs="Arial"/>
                <w:b/>
              </w:rPr>
            </w:pPr>
            <w:r w:rsidRPr="007542B3">
              <w:rPr>
                <w:rFonts w:ascii="Arial" w:hAnsi="Arial" w:cs="Arial"/>
                <w:b/>
              </w:rPr>
              <w:t>Brief history</w:t>
            </w:r>
          </w:p>
          <w:p w14:paraId="07157C1E" w14:textId="77777777" w:rsidR="00E25C1D" w:rsidRPr="007542B3" w:rsidRDefault="00E25C1D" w:rsidP="002D0F9A">
            <w:pPr>
              <w:rPr>
                <w:rFonts w:ascii="Arial" w:hAnsi="Arial" w:cs="Arial"/>
                <w:b/>
              </w:rPr>
            </w:pPr>
          </w:p>
          <w:p w14:paraId="5E474EB5" w14:textId="77777777" w:rsidR="00E25C1D" w:rsidRPr="007542B3" w:rsidRDefault="00E25C1D" w:rsidP="002D0F9A">
            <w:pPr>
              <w:rPr>
                <w:rFonts w:ascii="Arial" w:hAnsi="Arial" w:cs="Arial"/>
                <w:b/>
              </w:rPr>
            </w:pPr>
          </w:p>
          <w:p w14:paraId="70A35E5A" w14:textId="77777777" w:rsidR="00E25C1D" w:rsidRPr="007542B3" w:rsidRDefault="00E25C1D" w:rsidP="002D0F9A">
            <w:pPr>
              <w:rPr>
                <w:rFonts w:ascii="Arial" w:hAnsi="Arial" w:cs="Arial"/>
                <w:b/>
              </w:rPr>
            </w:pPr>
          </w:p>
          <w:p w14:paraId="4667926A" w14:textId="77777777" w:rsidR="00E25C1D" w:rsidRPr="007542B3" w:rsidRDefault="00E25C1D" w:rsidP="002D0F9A">
            <w:pPr>
              <w:rPr>
                <w:rFonts w:ascii="Arial" w:hAnsi="Arial" w:cs="Arial"/>
                <w:b/>
              </w:rPr>
            </w:pPr>
          </w:p>
          <w:p w14:paraId="0E68BFC2" w14:textId="77777777" w:rsidR="00E25C1D" w:rsidRPr="007542B3" w:rsidRDefault="00E25C1D" w:rsidP="002D0F9A">
            <w:pPr>
              <w:rPr>
                <w:rFonts w:ascii="Arial" w:hAnsi="Arial" w:cs="Arial"/>
                <w:b/>
              </w:rPr>
            </w:pPr>
          </w:p>
          <w:p w14:paraId="63912162" w14:textId="77777777" w:rsidR="00E25C1D" w:rsidRPr="007542B3" w:rsidRDefault="00E25C1D" w:rsidP="002D0F9A">
            <w:pPr>
              <w:rPr>
                <w:rFonts w:ascii="Arial" w:hAnsi="Arial" w:cs="Arial"/>
                <w:b/>
              </w:rPr>
            </w:pPr>
          </w:p>
          <w:p w14:paraId="51BA9760" w14:textId="77777777" w:rsidR="00E25C1D" w:rsidRPr="007542B3" w:rsidRDefault="00E25C1D" w:rsidP="002D0F9A">
            <w:pPr>
              <w:rPr>
                <w:rFonts w:ascii="Arial" w:hAnsi="Arial" w:cs="Arial"/>
                <w:b/>
              </w:rPr>
            </w:pPr>
          </w:p>
          <w:p w14:paraId="7E4E117E" w14:textId="77777777" w:rsidR="00E25C1D" w:rsidRPr="007542B3" w:rsidRDefault="00E25C1D" w:rsidP="002D0F9A">
            <w:pPr>
              <w:rPr>
                <w:rFonts w:ascii="Arial" w:hAnsi="Arial" w:cs="Arial"/>
                <w:b/>
              </w:rPr>
            </w:pPr>
          </w:p>
          <w:p w14:paraId="140203E4" w14:textId="77777777" w:rsidR="00E25C1D" w:rsidRPr="007542B3" w:rsidRDefault="00E25C1D" w:rsidP="002D0F9A">
            <w:pPr>
              <w:rPr>
                <w:rFonts w:ascii="Arial" w:hAnsi="Arial" w:cs="Arial"/>
                <w:b/>
              </w:rPr>
            </w:pPr>
          </w:p>
        </w:tc>
        <w:tc>
          <w:tcPr>
            <w:tcW w:w="7017" w:type="dxa"/>
            <w:tcBorders>
              <w:top w:val="single" w:sz="6" w:space="0" w:color="000080"/>
              <w:left w:val="single" w:sz="6" w:space="0" w:color="000080"/>
              <w:bottom w:val="single" w:sz="6" w:space="0" w:color="000080"/>
              <w:right w:val="single" w:sz="6" w:space="0" w:color="000080"/>
            </w:tcBorders>
            <w:shd w:val="clear" w:color="auto" w:fill="auto"/>
            <w:vAlign w:val="center"/>
          </w:tcPr>
          <w:p w14:paraId="2C5BF1B5" w14:textId="77777777" w:rsidR="00E25C1D" w:rsidRPr="007542B3" w:rsidRDefault="00E25C1D" w:rsidP="002D0F9A">
            <w:pPr>
              <w:rPr>
                <w:rFonts w:ascii="Arial" w:hAnsi="Arial" w:cs="Arial"/>
                <w:bCs/>
              </w:rPr>
            </w:pPr>
          </w:p>
        </w:tc>
      </w:tr>
    </w:tbl>
    <w:p w14:paraId="6C20E25D" w14:textId="77777777" w:rsidR="00E25C1D" w:rsidRPr="007542B3" w:rsidRDefault="00E25C1D" w:rsidP="00E25C1D">
      <w:pPr>
        <w:ind w:left="360"/>
        <w:rPr>
          <w:rFonts w:ascii="Arial" w:hAnsi="Arial" w:cs="Arial"/>
          <w: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7094"/>
      </w:tblGrid>
      <w:tr w:rsidR="00E25C1D" w:rsidRPr="002408A8" w14:paraId="39B193AB" w14:textId="77777777" w:rsidTr="00232C36">
        <w:tc>
          <w:tcPr>
            <w:tcW w:w="10093" w:type="dxa"/>
            <w:gridSpan w:val="2"/>
            <w:shd w:val="clear" w:color="auto" w:fill="auto"/>
          </w:tcPr>
          <w:p w14:paraId="4498EC64" w14:textId="77777777" w:rsidR="00E25C1D" w:rsidRPr="007542B3" w:rsidRDefault="00E25C1D" w:rsidP="002D0F9A">
            <w:pPr>
              <w:rPr>
                <w:rFonts w:ascii="Arial" w:hAnsi="Arial" w:cs="Arial"/>
                <w:b/>
              </w:rPr>
            </w:pPr>
            <w:r w:rsidRPr="007542B3">
              <w:rPr>
                <w:rFonts w:ascii="Arial" w:hAnsi="Arial" w:cs="Arial"/>
                <w:b/>
              </w:rPr>
              <w:t>Risk Assessment</w:t>
            </w:r>
          </w:p>
        </w:tc>
      </w:tr>
      <w:tr w:rsidR="00E25C1D" w:rsidRPr="002408A8" w14:paraId="703DF291" w14:textId="77777777" w:rsidTr="00232C36">
        <w:tc>
          <w:tcPr>
            <w:tcW w:w="2999" w:type="dxa"/>
            <w:shd w:val="clear" w:color="auto" w:fill="auto"/>
          </w:tcPr>
          <w:p w14:paraId="6C7ACAB4" w14:textId="77777777" w:rsidR="00E25C1D" w:rsidRPr="007542B3" w:rsidRDefault="00E25C1D" w:rsidP="002D0F9A">
            <w:pPr>
              <w:rPr>
                <w:rFonts w:ascii="Arial" w:hAnsi="Arial" w:cs="Arial"/>
                <w:b/>
              </w:rPr>
            </w:pPr>
            <w:r w:rsidRPr="007542B3">
              <w:rPr>
                <w:rFonts w:ascii="Arial" w:hAnsi="Arial" w:cs="Arial"/>
                <w:b/>
              </w:rPr>
              <w:t>Are there any known risks to the resident’s physical or mental wellbeing?</w:t>
            </w:r>
          </w:p>
        </w:tc>
        <w:tc>
          <w:tcPr>
            <w:tcW w:w="7094" w:type="dxa"/>
            <w:shd w:val="clear" w:color="auto" w:fill="auto"/>
          </w:tcPr>
          <w:p w14:paraId="3DBF5573" w14:textId="77777777" w:rsidR="00E25C1D" w:rsidRPr="007542B3" w:rsidRDefault="00E25C1D" w:rsidP="002D0F9A">
            <w:pPr>
              <w:rPr>
                <w:rFonts w:ascii="Arial" w:hAnsi="Arial" w:cs="Arial"/>
                <w:bCs/>
              </w:rPr>
            </w:pPr>
          </w:p>
        </w:tc>
      </w:tr>
      <w:tr w:rsidR="00E25C1D" w:rsidRPr="002408A8" w14:paraId="6A2F91BC" w14:textId="77777777" w:rsidTr="00232C36">
        <w:tc>
          <w:tcPr>
            <w:tcW w:w="2999" w:type="dxa"/>
            <w:shd w:val="clear" w:color="auto" w:fill="auto"/>
          </w:tcPr>
          <w:p w14:paraId="138FA40F" w14:textId="77777777" w:rsidR="00E25C1D" w:rsidRPr="007542B3" w:rsidRDefault="00E25C1D" w:rsidP="002D0F9A">
            <w:pPr>
              <w:rPr>
                <w:rFonts w:ascii="Arial" w:hAnsi="Arial" w:cs="Arial"/>
                <w:b/>
              </w:rPr>
            </w:pPr>
            <w:r w:rsidRPr="007542B3">
              <w:rPr>
                <w:rFonts w:ascii="Arial" w:hAnsi="Arial" w:cs="Arial"/>
                <w:b/>
              </w:rPr>
              <w:lastRenderedPageBreak/>
              <w:t>Is the resident safe in the home that has been provided to them?</w:t>
            </w:r>
          </w:p>
        </w:tc>
        <w:tc>
          <w:tcPr>
            <w:tcW w:w="7094" w:type="dxa"/>
            <w:shd w:val="clear" w:color="auto" w:fill="auto"/>
          </w:tcPr>
          <w:p w14:paraId="08957ED6" w14:textId="77777777" w:rsidR="00E25C1D" w:rsidRPr="007542B3" w:rsidRDefault="00E25C1D" w:rsidP="002D0F9A">
            <w:pPr>
              <w:rPr>
                <w:rFonts w:ascii="Arial" w:hAnsi="Arial" w:cs="Arial"/>
                <w:bCs/>
              </w:rPr>
            </w:pPr>
          </w:p>
        </w:tc>
      </w:tr>
      <w:tr w:rsidR="00E25C1D" w:rsidRPr="002408A8" w14:paraId="0BF5F557" w14:textId="77777777" w:rsidTr="00232C36">
        <w:tc>
          <w:tcPr>
            <w:tcW w:w="2999" w:type="dxa"/>
            <w:shd w:val="clear" w:color="auto" w:fill="auto"/>
          </w:tcPr>
          <w:p w14:paraId="3DF6C9C4" w14:textId="77777777" w:rsidR="00E25C1D" w:rsidRPr="007542B3" w:rsidRDefault="00E25C1D" w:rsidP="002D0F9A">
            <w:pPr>
              <w:rPr>
                <w:rFonts w:ascii="Arial" w:hAnsi="Arial" w:cs="Arial"/>
                <w:b/>
              </w:rPr>
            </w:pPr>
            <w:r w:rsidRPr="007542B3">
              <w:rPr>
                <w:rFonts w:ascii="Arial" w:hAnsi="Arial" w:cs="Arial"/>
                <w:b/>
              </w:rPr>
              <w:t>Will the proposed activity have any impacts on the residents’ safety and well-being? If yes, please describe.</w:t>
            </w:r>
          </w:p>
        </w:tc>
        <w:tc>
          <w:tcPr>
            <w:tcW w:w="7094" w:type="dxa"/>
            <w:shd w:val="clear" w:color="auto" w:fill="auto"/>
          </w:tcPr>
          <w:p w14:paraId="3FA73055" w14:textId="77777777" w:rsidR="00E25C1D" w:rsidRPr="007542B3" w:rsidRDefault="00E25C1D" w:rsidP="002D0F9A">
            <w:pPr>
              <w:rPr>
                <w:rFonts w:ascii="Arial" w:hAnsi="Arial" w:cs="Arial"/>
                <w:bCs/>
              </w:rPr>
            </w:pPr>
          </w:p>
        </w:tc>
      </w:tr>
      <w:tr w:rsidR="00E25C1D" w:rsidRPr="002408A8" w14:paraId="73BA6E39" w14:textId="77777777" w:rsidTr="00232C36">
        <w:tc>
          <w:tcPr>
            <w:tcW w:w="2999" w:type="dxa"/>
            <w:shd w:val="clear" w:color="auto" w:fill="auto"/>
          </w:tcPr>
          <w:p w14:paraId="75D1B084" w14:textId="77777777" w:rsidR="00E25C1D" w:rsidRPr="007542B3" w:rsidRDefault="00E25C1D" w:rsidP="002D0F9A">
            <w:pPr>
              <w:rPr>
                <w:rFonts w:ascii="Arial" w:hAnsi="Arial" w:cs="Arial"/>
                <w:b/>
              </w:rPr>
            </w:pPr>
            <w:r w:rsidRPr="007542B3">
              <w:rPr>
                <w:rFonts w:ascii="Arial" w:hAnsi="Arial" w:cs="Arial"/>
                <w:b/>
              </w:rPr>
              <w:t>What steps are being taken to mitigate the risk to resident safety and well-being?</w:t>
            </w:r>
          </w:p>
        </w:tc>
        <w:tc>
          <w:tcPr>
            <w:tcW w:w="7094" w:type="dxa"/>
            <w:shd w:val="clear" w:color="auto" w:fill="auto"/>
          </w:tcPr>
          <w:p w14:paraId="086DB4B6" w14:textId="77777777" w:rsidR="00E25C1D" w:rsidRPr="007542B3" w:rsidRDefault="00E25C1D" w:rsidP="002D0F9A">
            <w:pPr>
              <w:rPr>
                <w:rFonts w:ascii="Arial" w:hAnsi="Arial" w:cs="Arial"/>
                <w:bCs/>
              </w:rPr>
            </w:pPr>
          </w:p>
        </w:tc>
      </w:tr>
    </w:tbl>
    <w:p w14:paraId="5223852E" w14:textId="77777777" w:rsidR="00E25C1D" w:rsidRPr="007542B3" w:rsidRDefault="00E25C1D" w:rsidP="00E25C1D">
      <w:pPr>
        <w:ind w:left="360"/>
        <w:rPr>
          <w:rFonts w:ascii="Arial" w:hAnsi="Arial" w:cs="Arial"/>
          <w:b/>
        </w:rPr>
      </w:pPr>
    </w:p>
    <w:tbl>
      <w:tblPr>
        <w:tblW w:w="10090" w:type="dxa"/>
        <w:tblInd w:w="-4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090"/>
      </w:tblGrid>
      <w:tr w:rsidR="00E25C1D" w:rsidRPr="002408A8" w14:paraId="159DA3B6" w14:textId="77777777" w:rsidTr="00232C36">
        <w:tc>
          <w:tcPr>
            <w:tcW w:w="10090" w:type="dxa"/>
            <w:shd w:val="clear" w:color="auto" w:fill="BDD6EE"/>
            <w:vAlign w:val="center"/>
          </w:tcPr>
          <w:p w14:paraId="37B914F2" w14:textId="77777777" w:rsidR="00E25C1D" w:rsidRPr="007542B3" w:rsidRDefault="00E25C1D" w:rsidP="002D0F9A">
            <w:pPr>
              <w:rPr>
                <w:rFonts w:ascii="Arial" w:hAnsi="Arial" w:cs="Arial"/>
                <w:b/>
              </w:rPr>
            </w:pPr>
            <w:r w:rsidRPr="007542B3">
              <w:rPr>
                <w:rFonts w:ascii="Arial" w:hAnsi="Arial" w:cs="Arial"/>
                <w:b/>
              </w:rPr>
              <w:t>Equality Impact Assessment</w:t>
            </w:r>
          </w:p>
          <w:p w14:paraId="52655C95" w14:textId="77777777" w:rsidR="00E25C1D" w:rsidRPr="007542B3" w:rsidRDefault="00E25C1D" w:rsidP="002D0F9A">
            <w:pPr>
              <w:rPr>
                <w:rFonts w:ascii="Arial" w:hAnsi="Arial" w:cs="Arial"/>
                <w:b/>
              </w:rPr>
            </w:pPr>
            <w:r w:rsidRPr="007542B3">
              <w:rPr>
                <w:rFonts w:ascii="Arial" w:hAnsi="Arial" w:cs="Arial"/>
                <w:b/>
              </w:rPr>
              <w:t>Identify here any impact on any of the following protected characteristics:</w:t>
            </w:r>
          </w:p>
        </w:tc>
      </w:tr>
    </w:tbl>
    <w:p w14:paraId="5B9E3FF4" w14:textId="77777777" w:rsidR="00E25C1D" w:rsidRPr="007542B3" w:rsidRDefault="00E25C1D" w:rsidP="00E25C1D">
      <w:pPr>
        <w:ind w:left="360"/>
        <w:rPr>
          <w:rFonts w:ascii="Arial" w:hAnsi="Arial" w:cs="Arial"/>
          <w:b/>
        </w:rPr>
      </w:pPr>
    </w:p>
    <w:tbl>
      <w:tblPr>
        <w:tblW w:w="10090" w:type="dxa"/>
        <w:tblInd w:w="-4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94"/>
        <w:gridCol w:w="1793"/>
        <w:gridCol w:w="1720"/>
        <w:gridCol w:w="1073"/>
        <w:gridCol w:w="3710"/>
      </w:tblGrid>
      <w:tr w:rsidR="00E25C1D" w:rsidRPr="002408A8" w14:paraId="7A9AED6A" w14:textId="77777777" w:rsidTr="00232C36">
        <w:trPr>
          <w:trHeight w:val="932"/>
          <w:tblHeader/>
        </w:trPr>
        <w:tc>
          <w:tcPr>
            <w:tcW w:w="1805" w:type="dxa"/>
            <w:shd w:val="clear" w:color="auto" w:fill="BDD6EE"/>
            <w:vAlign w:val="center"/>
          </w:tcPr>
          <w:p w14:paraId="61084E61" w14:textId="77777777" w:rsidR="00E25C1D" w:rsidRPr="007542B3" w:rsidRDefault="00E25C1D" w:rsidP="002D0F9A">
            <w:pPr>
              <w:rPr>
                <w:rFonts w:ascii="Arial" w:hAnsi="Arial" w:cs="Arial"/>
                <w:b/>
              </w:rPr>
            </w:pPr>
          </w:p>
        </w:tc>
        <w:tc>
          <w:tcPr>
            <w:tcW w:w="1596" w:type="dxa"/>
            <w:shd w:val="clear" w:color="auto" w:fill="BDD6EE"/>
            <w:vAlign w:val="center"/>
          </w:tcPr>
          <w:p w14:paraId="16B3B7CE" w14:textId="77777777" w:rsidR="00E25C1D" w:rsidRPr="007542B3" w:rsidRDefault="00E25C1D" w:rsidP="002D0F9A">
            <w:pPr>
              <w:rPr>
                <w:rFonts w:ascii="Arial" w:hAnsi="Arial" w:cs="Arial"/>
                <w:b/>
              </w:rPr>
            </w:pPr>
          </w:p>
          <w:p w14:paraId="079F2824" w14:textId="77777777" w:rsidR="00E25C1D" w:rsidRPr="007542B3" w:rsidRDefault="00E25C1D" w:rsidP="002D0F9A">
            <w:pPr>
              <w:rPr>
                <w:rFonts w:ascii="Arial" w:hAnsi="Arial" w:cs="Arial"/>
                <w:b/>
              </w:rPr>
            </w:pPr>
            <w:r w:rsidRPr="007542B3">
              <w:rPr>
                <w:rFonts w:ascii="Arial" w:hAnsi="Arial" w:cs="Arial"/>
                <w:b/>
              </w:rPr>
              <w:t>Positive impact</w:t>
            </w:r>
          </w:p>
          <w:p w14:paraId="7FD3996F" w14:textId="77777777" w:rsidR="00E25C1D" w:rsidRPr="007542B3" w:rsidRDefault="00E25C1D" w:rsidP="002D0F9A">
            <w:pPr>
              <w:rPr>
                <w:rFonts w:ascii="Arial" w:hAnsi="Arial" w:cs="Arial"/>
                <w:b/>
              </w:rPr>
            </w:pPr>
            <w:r w:rsidRPr="007542B3">
              <w:rPr>
                <w:rFonts w:ascii="Arial" w:hAnsi="Arial" w:cs="Arial"/>
                <w:b/>
              </w:rPr>
              <w:t>(Contributes towards promoting equality and eliminating discrimination)</w:t>
            </w:r>
          </w:p>
          <w:p w14:paraId="73B2258A" w14:textId="77777777" w:rsidR="00E25C1D" w:rsidRPr="007542B3" w:rsidRDefault="00E25C1D" w:rsidP="002D0F9A">
            <w:pPr>
              <w:rPr>
                <w:rFonts w:ascii="Arial" w:hAnsi="Arial" w:cs="Arial"/>
                <w:b/>
              </w:rPr>
            </w:pPr>
          </w:p>
        </w:tc>
        <w:tc>
          <w:tcPr>
            <w:tcW w:w="1537" w:type="dxa"/>
            <w:shd w:val="clear" w:color="auto" w:fill="BDD6EE"/>
            <w:vAlign w:val="center"/>
          </w:tcPr>
          <w:p w14:paraId="145726D5" w14:textId="77777777" w:rsidR="00E25C1D" w:rsidRPr="007542B3" w:rsidRDefault="00E25C1D" w:rsidP="002D0F9A">
            <w:pPr>
              <w:rPr>
                <w:rFonts w:ascii="Arial" w:hAnsi="Arial" w:cs="Arial"/>
                <w:b/>
              </w:rPr>
            </w:pPr>
            <w:r w:rsidRPr="007542B3">
              <w:rPr>
                <w:rFonts w:ascii="Arial" w:hAnsi="Arial" w:cs="Arial"/>
                <w:b/>
              </w:rPr>
              <w:t>Negative impact (the activity proposed does not promote equality or eliminate discrimination - is so must be justified)</w:t>
            </w:r>
          </w:p>
        </w:tc>
        <w:tc>
          <w:tcPr>
            <w:tcW w:w="1094" w:type="dxa"/>
            <w:shd w:val="clear" w:color="auto" w:fill="BDD6EE"/>
            <w:vAlign w:val="center"/>
          </w:tcPr>
          <w:p w14:paraId="6E796B0E" w14:textId="77777777" w:rsidR="00E25C1D" w:rsidRPr="007542B3" w:rsidRDefault="00E25C1D" w:rsidP="002D0F9A">
            <w:pPr>
              <w:rPr>
                <w:rFonts w:ascii="Arial" w:hAnsi="Arial" w:cs="Arial"/>
                <w:b/>
              </w:rPr>
            </w:pPr>
            <w:r w:rsidRPr="007542B3">
              <w:rPr>
                <w:rFonts w:ascii="Arial" w:hAnsi="Arial" w:cs="Arial"/>
                <w:b/>
              </w:rPr>
              <w:t xml:space="preserve">No impact </w:t>
            </w:r>
          </w:p>
        </w:tc>
        <w:tc>
          <w:tcPr>
            <w:tcW w:w="4058" w:type="dxa"/>
            <w:shd w:val="clear" w:color="auto" w:fill="BDD6EE"/>
            <w:vAlign w:val="center"/>
          </w:tcPr>
          <w:p w14:paraId="430CE256" w14:textId="77777777" w:rsidR="00E25C1D" w:rsidRPr="007542B3" w:rsidRDefault="00E25C1D" w:rsidP="002D0F9A">
            <w:pPr>
              <w:rPr>
                <w:rFonts w:ascii="Arial" w:hAnsi="Arial" w:cs="Arial"/>
                <w:b/>
              </w:rPr>
            </w:pPr>
            <w:r w:rsidRPr="007542B3">
              <w:rPr>
                <w:rFonts w:ascii="Arial" w:hAnsi="Arial" w:cs="Arial"/>
                <w:b/>
              </w:rPr>
              <w:t>Reason, and evidence</w:t>
            </w:r>
          </w:p>
          <w:p w14:paraId="6053C698" w14:textId="77777777" w:rsidR="00E25C1D" w:rsidRPr="007542B3" w:rsidRDefault="00E25C1D" w:rsidP="002D0F9A">
            <w:pPr>
              <w:rPr>
                <w:rFonts w:ascii="Arial" w:hAnsi="Arial" w:cs="Arial"/>
                <w:b/>
              </w:rPr>
            </w:pPr>
            <w:r w:rsidRPr="007542B3">
              <w:rPr>
                <w:rFonts w:ascii="Arial" w:hAnsi="Arial" w:cs="Arial"/>
                <w:b/>
              </w:rPr>
              <w:t>(If there is no impact, please detail what your reasoning is behind this)</w:t>
            </w:r>
          </w:p>
          <w:p w14:paraId="08F6AEC2" w14:textId="77777777" w:rsidR="00E25C1D" w:rsidRPr="007542B3" w:rsidRDefault="00E25C1D" w:rsidP="002D0F9A">
            <w:pPr>
              <w:rPr>
                <w:rFonts w:ascii="Arial" w:hAnsi="Arial" w:cs="Arial"/>
                <w:b/>
              </w:rPr>
            </w:pPr>
          </w:p>
        </w:tc>
      </w:tr>
      <w:tr w:rsidR="00E25C1D" w:rsidRPr="002408A8" w14:paraId="21B6451C" w14:textId="77777777" w:rsidTr="00232C36">
        <w:trPr>
          <w:trHeight w:val="794"/>
        </w:trPr>
        <w:tc>
          <w:tcPr>
            <w:tcW w:w="1805" w:type="dxa"/>
            <w:shd w:val="clear" w:color="auto" w:fill="auto"/>
            <w:vAlign w:val="center"/>
          </w:tcPr>
          <w:p w14:paraId="2492EA67" w14:textId="77777777" w:rsidR="00E25C1D" w:rsidRPr="007542B3" w:rsidRDefault="00E25C1D" w:rsidP="002D0F9A">
            <w:pPr>
              <w:rPr>
                <w:rFonts w:ascii="Arial" w:hAnsi="Arial" w:cs="Arial"/>
                <w:b/>
              </w:rPr>
            </w:pPr>
            <w:r w:rsidRPr="007542B3">
              <w:rPr>
                <w:rFonts w:ascii="Arial" w:hAnsi="Arial" w:cs="Arial"/>
                <w:b/>
              </w:rPr>
              <w:t>Age</w:t>
            </w:r>
          </w:p>
        </w:tc>
        <w:tc>
          <w:tcPr>
            <w:tcW w:w="1596" w:type="dxa"/>
            <w:shd w:val="clear" w:color="auto" w:fill="auto"/>
            <w:vAlign w:val="center"/>
          </w:tcPr>
          <w:p w14:paraId="333744AA" w14:textId="77777777" w:rsidR="00E25C1D" w:rsidRPr="007542B3" w:rsidRDefault="00E25C1D" w:rsidP="002D0F9A">
            <w:pPr>
              <w:rPr>
                <w:rFonts w:ascii="Arial" w:hAnsi="Arial" w:cs="Arial"/>
              </w:rPr>
            </w:pPr>
          </w:p>
        </w:tc>
        <w:tc>
          <w:tcPr>
            <w:tcW w:w="1537" w:type="dxa"/>
          </w:tcPr>
          <w:p w14:paraId="6A520007" w14:textId="77777777" w:rsidR="00E25C1D" w:rsidRPr="007542B3" w:rsidRDefault="00E25C1D" w:rsidP="002D0F9A">
            <w:pPr>
              <w:rPr>
                <w:rFonts w:ascii="Arial" w:hAnsi="Arial" w:cs="Arial"/>
              </w:rPr>
            </w:pPr>
          </w:p>
        </w:tc>
        <w:tc>
          <w:tcPr>
            <w:tcW w:w="1094" w:type="dxa"/>
          </w:tcPr>
          <w:p w14:paraId="66D7F750" w14:textId="77777777" w:rsidR="00E25C1D" w:rsidRPr="007542B3" w:rsidRDefault="00E25C1D" w:rsidP="002D0F9A">
            <w:pPr>
              <w:rPr>
                <w:rFonts w:ascii="Arial" w:hAnsi="Arial" w:cs="Arial"/>
              </w:rPr>
            </w:pPr>
          </w:p>
        </w:tc>
        <w:tc>
          <w:tcPr>
            <w:tcW w:w="4058" w:type="dxa"/>
          </w:tcPr>
          <w:p w14:paraId="0637B20D" w14:textId="77777777" w:rsidR="00E25C1D" w:rsidRPr="007542B3" w:rsidRDefault="00E25C1D" w:rsidP="002D0F9A">
            <w:pPr>
              <w:rPr>
                <w:rFonts w:ascii="Arial" w:hAnsi="Arial" w:cs="Arial"/>
              </w:rPr>
            </w:pPr>
          </w:p>
        </w:tc>
      </w:tr>
      <w:tr w:rsidR="00E25C1D" w:rsidRPr="002408A8" w14:paraId="3E4A4D5F" w14:textId="77777777" w:rsidTr="00232C36">
        <w:trPr>
          <w:trHeight w:val="794"/>
        </w:trPr>
        <w:tc>
          <w:tcPr>
            <w:tcW w:w="1805" w:type="dxa"/>
            <w:shd w:val="clear" w:color="auto" w:fill="auto"/>
            <w:vAlign w:val="center"/>
          </w:tcPr>
          <w:p w14:paraId="68861956" w14:textId="77777777" w:rsidR="00E25C1D" w:rsidRPr="007542B3" w:rsidRDefault="00E25C1D" w:rsidP="002D0F9A">
            <w:pPr>
              <w:rPr>
                <w:rFonts w:ascii="Arial" w:hAnsi="Arial" w:cs="Arial"/>
                <w:b/>
              </w:rPr>
            </w:pPr>
            <w:r w:rsidRPr="007542B3">
              <w:rPr>
                <w:rFonts w:ascii="Arial" w:hAnsi="Arial" w:cs="Arial"/>
                <w:b/>
              </w:rPr>
              <w:t>Disability</w:t>
            </w:r>
          </w:p>
        </w:tc>
        <w:tc>
          <w:tcPr>
            <w:tcW w:w="1596" w:type="dxa"/>
            <w:shd w:val="clear" w:color="auto" w:fill="auto"/>
            <w:vAlign w:val="center"/>
          </w:tcPr>
          <w:p w14:paraId="7B86F418" w14:textId="77777777" w:rsidR="00E25C1D" w:rsidRPr="007542B3" w:rsidRDefault="00E25C1D" w:rsidP="002D0F9A">
            <w:pPr>
              <w:rPr>
                <w:rFonts w:ascii="Arial" w:hAnsi="Arial" w:cs="Arial"/>
              </w:rPr>
            </w:pPr>
          </w:p>
        </w:tc>
        <w:tc>
          <w:tcPr>
            <w:tcW w:w="1537" w:type="dxa"/>
          </w:tcPr>
          <w:p w14:paraId="034F4697" w14:textId="77777777" w:rsidR="00E25C1D" w:rsidRPr="007542B3" w:rsidRDefault="00E25C1D" w:rsidP="002D0F9A">
            <w:pPr>
              <w:rPr>
                <w:rFonts w:ascii="Arial" w:hAnsi="Arial" w:cs="Arial"/>
              </w:rPr>
            </w:pPr>
          </w:p>
        </w:tc>
        <w:tc>
          <w:tcPr>
            <w:tcW w:w="1094" w:type="dxa"/>
          </w:tcPr>
          <w:p w14:paraId="1353CABA" w14:textId="77777777" w:rsidR="00E25C1D" w:rsidRPr="007542B3" w:rsidRDefault="00E25C1D" w:rsidP="002D0F9A">
            <w:pPr>
              <w:rPr>
                <w:rFonts w:ascii="Arial" w:hAnsi="Arial" w:cs="Arial"/>
              </w:rPr>
            </w:pPr>
          </w:p>
        </w:tc>
        <w:tc>
          <w:tcPr>
            <w:tcW w:w="4058" w:type="dxa"/>
          </w:tcPr>
          <w:p w14:paraId="1094FA12" w14:textId="77777777" w:rsidR="00E25C1D" w:rsidRPr="007542B3" w:rsidRDefault="00E25C1D" w:rsidP="002D0F9A">
            <w:pPr>
              <w:rPr>
                <w:rFonts w:ascii="Arial" w:hAnsi="Arial" w:cs="Arial"/>
              </w:rPr>
            </w:pPr>
          </w:p>
        </w:tc>
      </w:tr>
      <w:tr w:rsidR="00E25C1D" w:rsidRPr="002408A8" w14:paraId="5EC3ACA8" w14:textId="77777777" w:rsidTr="00232C36">
        <w:trPr>
          <w:trHeight w:val="794"/>
        </w:trPr>
        <w:tc>
          <w:tcPr>
            <w:tcW w:w="1805" w:type="dxa"/>
            <w:shd w:val="clear" w:color="auto" w:fill="auto"/>
            <w:vAlign w:val="center"/>
          </w:tcPr>
          <w:p w14:paraId="4386FE44" w14:textId="77777777" w:rsidR="00E25C1D" w:rsidRPr="007542B3" w:rsidRDefault="00E25C1D" w:rsidP="002D0F9A">
            <w:pPr>
              <w:rPr>
                <w:rFonts w:ascii="Arial" w:hAnsi="Arial" w:cs="Arial"/>
                <w:b/>
              </w:rPr>
            </w:pPr>
            <w:r w:rsidRPr="007542B3">
              <w:rPr>
                <w:rFonts w:ascii="Arial" w:hAnsi="Arial" w:cs="Arial"/>
                <w:b/>
              </w:rPr>
              <w:t>Gender Reassignment</w:t>
            </w:r>
          </w:p>
        </w:tc>
        <w:tc>
          <w:tcPr>
            <w:tcW w:w="1596" w:type="dxa"/>
            <w:shd w:val="clear" w:color="auto" w:fill="auto"/>
            <w:vAlign w:val="center"/>
          </w:tcPr>
          <w:p w14:paraId="2CD55EDB" w14:textId="77777777" w:rsidR="00E25C1D" w:rsidRPr="007542B3" w:rsidRDefault="00E25C1D" w:rsidP="002D0F9A">
            <w:pPr>
              <w:rPr>
                <w:rFonts w:ascii="Arial" w:hAnsi="Arial" w:cs="Arial"/>
              </w:rPr>
            </w:pPr>
          </w:p>
        </w:tc>
        <w:tc>
          <w:tcPr>
            <w:tcW w:w="1537" w:type="dxa"/>
          </w:tcPr>
          <w:p w14:paraId="10A4BD78" w14:textId="77777777" w:rsidR="00E25C1D" w:rsidRPr="007542B3" w:rsidRDefault="00E25C1D" w:rsidP="002D0F9A">
            <w:pPr>
              <w:rPr>
                <w:rFonts w:ascii="Arial" w:hAnsi="Arial" w:cs="Arial"/>
              </w:rPr>
            </w:pPr>
          </w:p>
        </w:tc>
        <w:tc>
          <w:tcPr>
            <w:tcW w:w="1094" w:type="dxa"/>
          </w:tcPr>
          <w:p w14:paraId="1B056A21" w14:textId="77777777" w:rsidR="00E25C1D" w:rsidRPr="007542B3" w:rsidRDefault="00E25C1D" w:rsidP="002D0F9A">
            <w:pPr>
              <w:rPr>
                <w:rFonts w:ascii="Arial" w:hAnsi="Arial" w:cs="Arial"/>
              </w:rPr>
            </w:pPr>
          </w:p>
        </w:tc>
        <w:tc>
          <w:tcPr>
            <w:tcW w:w="4058" w:type="dxa"/>
          </w:tcPr>
          <w:p w14:paraId="39C53D0B" w14:textId="77777777" w:rsidR="00E25C1D" w:rsidRPr="007542B3" w:rsidRDefault="00E25C1D" w:rsidP="002D0F9A">
            <w:pPr>
              <w:rPr>
                <w:rFonts w:ascii="Arial" w:hAnsi="Arial" w:cs="Arial"/>
              </w:rPr>
            </w:pPr>
          </w:p>
        </w:tc>
      </w:tr>
      <w:tr w:rsidR="00E25C1D" w:rsidRPr="002408A8" w14:paraId="2A6CAD06" w14:textId="77777777" w:rsidTr="00232C36">
        <w:trPr>
          <w:trHeight w:val="794"/>
        </w:trPr>
        <w:tc>
          <w:tcPr>
            <w:tcW w:w="1805" w:type="dxa"/>
            <w:shd w:val="clear" w:color="auto" w:fill="auto"/>
            <w:vAlign w:val="center"/>
          </w:tcPr>
          <w:p w14:paraId="13C384D2" w14:textId="77777777" w:rsidR="00E25C1D" w:rsidRPr="007542B3" w:rsidRDefault="00E25C1D" w:rsidP="002D0F9A">
            <w:pPr>
              <w:rPr>
                <w:rFonts w:ascii="Arial" w:hAnsi="Arial" w:cs="Arial"/>
                <w:b/>
              </w:rPr>
            </w:pPr>
            <w:r w:rsidRPr="007542B3">
              <w:rPr>
                <w:rFonts w:ascii="Arial" w:hAnsi="Arial" w:cs="Arial"/>
                <w:b/>
              </w:rPr>
              <w:t>Marriage and Civil Partnership</w:t>
            </w:r>
          </w:p>
        </w:tc>
        <w:tc>
          <w:tcPr>
            <w:tcW w:w="1596" w:type="dxa"/>
            <w:shd w:val="clear" w:color="auto" w:fill="auto"/>
            <w:vAlign w:val="center"/>
          </w:tcPr>
          <w:p w14:paraId="4ECB3352" w14:textId="77777777" w:rsidR="00E25C1D" w:rsidRPr="007542B3" w:rsidRDefault="00E25C1D" w:rsidP="002D0F9A">
            <w:pPr>
              <w:rPr>
                <w:rFonts w:ascii="Arial" w:hAnsi="Arial" w:cs="Arial"/>
              </w:rPr>
            </w:pPr>
          </w:p>
        </w:tc>
        <w:tc>
          <w:tcPr>
            <w:tcW w:w="1537" w:type="dxa"/>
          </w:tcPr>
          <w:p w14:paraId="647CB21E" w14:textId="77777777" w:rsidR="00E25C1D" w:rsidRPr="007542B3" w:rsidRDefault="00E25C1D" w:rsidP="002D0F9A">
            <w:pPr>
              <w:rPr>
                <w:rFonts w:ascii="Arial" w:hAnsi="Arial" w:cs="Arial"/>
              </w:rPr>
            </w:pPr>
          </w:p>
        </w:tc>
        <w:tc>
          <w:tcPr>
            <w:tcW w:w="1094" w:type="dxa"/>
          </w:tcPr>
          <w:p w14:paraId="1ECA273B" w14:textId="77777777" w:rsidR="00E25C1D" w:rsidRPr="007542B3" w:rsidRDefault="00E25C1D" w:rsidP="002D0F9A">
            <w:pPr>
              <w:rPr>
                <w:rFonts w:ascii="Arial" w:hAnsi="Arial" w:cs="Arial"/>
              </w:rPr>
            </w:pPr>
          </w:p>
        </w:tc>
        <w:tc>
          <w:tcPr>
            <w:tcW w:w="4058" w:type="dxa"/>
          </w:tcPr>
          <w:p w14:paraId="4C4FBF5A" w14:textId="77777777" w:rsidR="00E25C1D" w:rsidRPr="007542B3" w:rsidRDefault="00E25C1D" w:rsidP="002D0F9A">
            <w:pPr>
              <w:rPr>
                <w:rFonts w:ascii="Arial" w:hAnsi="Arial" w:cs="Arial"/>
              </w:rPr>
            </w:pPr>
          </w:p>
        </w:tc>
      </w:tr>
      <w:tr w:rsidR="00E25C1D" w:rsidRPr="002408A8" w14:paraId="7A448D62" w14:textId="77777777" w:rsidTr="00232C36">
        <w:trPr>
          <w:trHeight w:val="794"/>
        </w:trPr>
        <w:tc>
          <w:tcPr>
            <w:tcW w:w="1805" w:type="dxa"/>
            <w:shd w:val="clear" w:color="auto" w:fill="auto"/>
            <w:vAlign w:val="center"/>
          </w:tcPr>
          <w:p w14:paraId="2636840A" w14:textId="77777777" w:rsidR="00E25C1D" w:rsidRPr="007542B3" w:rsidRDefault="00E25C1D" w:rsidP="002D0F9A">
            <w:pPr>
              <w:rPr>
                <w:rFonts w:ascii="Arial" w:hAnsi="Arial" w:cs="Arial"/>
                <w:b/>
              </w:rPr>
            </w:pPr>
            <w:r w:rsidRPr="007542B3">
              <w:rPr>
                <w:rFonts w:ascii="Arial" w:hAnsi="Arial" w:cs="Arial"/>
                <w:b/>
              </w:rPr>
              <w:t>Pregnancy and Maternity</w:t>
            </w:r>
          </w:p>
        </w:tc>
        <w:tc>
          <w:tcPr>
            <w:tcW w:w="1596" w:type="dxa"/>
            <w:shd w:val="clear" w:color="auto" w:fill="auto"/>
            <w:vAlign w:val="center"/>
          </w:tcPr>
          <w:p w14:paraId="14744AB4" w14:textId="77777777" w:rsidR="00E25C1D" w:rsidRPr="007542B3" w:rsidRDefault="00E25C1D" w:rsidP="002D0F9A">
            <w:pPr>
              <w:rPr>
                <w:rFonts w:ascii="Arial" w:hAnsi="Arial" w:cs="Arial"/>
              </w:rPr>
            </w:pPr>
          </w:p>
        </w:tc>
        <w:tc>
          <w:tcPr>
            <w:tcW w:w="1537" w:type="dxa"/>
          </w:tcPr>
          <w:p w14:paraId="4C62916A" w14:textId="77777777" w:rsidR="00E25C1D" w:rsidRPr="007542B3" w:rsidRDefault="00E25C1D" w:rsidP="002D0F9A">
            <w:pPr>
              <w:rPr>
                <w:rFonts w:ascii="Arial" w:hAnsi="Arial" w:cs="Arial"/>
              </w:rPr>
            </w:pPr>
          </w:p>
        </w:tc>
        <w:tc>
          <w:tcPr>
            <w:tcW w:w="1094" w:type="dxa"/>
          </w:tcPr>
          <w:p w14:paraId="7C7167EB" w14:textId="77777777" w:rsidR="00E25C1D" w:rsidRPr="007542B3" w:rsidRDefault="00E25C1D" w:rsidP="002D0F9A">
            <w:pPr>
              <w:rPr>
                <w:rFonts w:ascii="Arial" w:hAnsi="Arial" w:cs="Arial"/>
              </w:rPr>
            </w:pPr>
          </w:p>
        </w:tc>
        <w:tc>
          <w:tcPr>
            <w:tcW w:w="4058" w:type="dxa"/>
          </w:tcPr>
          <w:p w14:paraId="25ACAF77" w14:textId="77777777" w:rsidR="00E25C1D" w:rsidRPr="007542B3" w:rsidRDefault="00E25C1D" w:rsidP="002D0F9A">
            <w:pPr>
              <w:rPr>
                <w:rFonts w:ascii="Arial" w:hAnsi="Arial" w:cs="Arial"/>
              </w:rPr>
            </w:pPr>
          </w:p>
          <w:p w14:paraId="6CD41CE7" w14:textId="77777777" w:rsidR="00E25C1D" w:rsidRPr="007542B3" w:rsidRDefault="00E25C1D" w:rsidP="002D0F9A">
            <w:pPr>
              <w:rPr>
                <w:rFonts w:ascii="Arial" w:hAnsi="Arial" w:cs="Arial"/>
              </w:rPr>
            </w:pPr>
          </w:p>
          <w:p w14:paraId="2065BE5C" w14:textId="77777777" w:rsidR="00E25C1D" w:rsidRPr="007542B3" w:rsidRDefault="00E25C1D" w:rsidP="002D0F9A">
            <w:pPr>
              <w:rPr>
                <w:rFonts w:ascii="Arial" w:hAnsi="Arial" w:cs="Arial"/>
              </w:rPr>
            </w:pPr>
          </w:p>
        </w:tc>
      </w:tr>
      <w:tr w:rsidR="00E25C1D" w:rsidRPr="002408A8" w14:paraId="6CF77511" w14:textId="77777777" w:rsidTr="00232C36">
        <w:trPr>
          <w:trHeight w:val="794"/>
        </w:trPr>
        <w:tc>
          <w:tcPr>
            <w:tcW w:w="1805" w:type="dxa"/>
            <w:shd w:val="clear" w:color="auto" w:fill="auto"/>
            <w:vAlign w:val="center"/>
          </w:tcPr>
          <w:p w14:paraId="32F0F11F" w14:textId="77777777" w:rsidR="00E25C1D" w:rsidRPr="007542B3" w:rsidRDefault="00E25C1D" w:rsidP="002D0F9A">
            <w:pPr>
              <w:rPr>
                <w:rFonts w:ascii="Arial" w:hAnsi="Arial" w:cs="Arial"/>
                <w:b/>
              </w:rPr>
            </w:pPr>
            <w:r w:rsidRPr="007542B3">
              <w:rPr>
                <w:rFonts w:ascii="Arial" w:hAnsi="Arial" w:cs="Arial"/>
                <w:b/>
              </w:rPr>
              <w:lastRenderedPageBreak/>
              <w:t>Race</w:t>
            </w:r>
          </w:p>
        </w:tc>
        <w:tc>
          <w:tcPr>
            <w:tcW w:w="1596" w:type="dxa"/>
            <w:shd w:val="clear" w:color="auto" w:fill="auto"/>
            <w:vAlign w:val="center"/>
          </w:tcPr>
          <w:p w14:paraId="605F0A4D" w14:textId="77777777" w:rsidR="00E25C1D" w:rsidRPr="007542B3" w:rsidRDefault="00E25C1D" w:rsidP="002D0F9A">
            <w:pPr>
              <w:rPr>
                <w:rFonts w:ascii="Arial" w:hAnsi="Arial" w:cs="Arial"/>
              </w:rPr>
            </w:pPr>
          </w:p>
        </w:tc>
        <w:tc>
          <w:tcPr>
            <w:tcW w:w="1537" w:type="dxa"/>
          </w:tcPr>
          <w:p w14:paraId="391B1639" w14:textId="77777777" w:rsidR="00E25C1D" w:rsidRPr="007542B3" w:rsidRDefault="00E25C1D" w:rsidP="002D0F9A">
            <w:pPr>
              <w:rPr>
                <w:rFonts w:ascii="Arial" w:hAnsi="Arial" w:cs="Arial"/>
              </w:rPr>
            </w:pPr>
          </w:p>
        </w:tc>
        <w:tc>
          <w:tcPr>
            <w:tcW w:w="1094" w:type="dxa"/>
          </w:tcPr>
          <w:p w14:paraId="5F3051E9" w14:textId="77777777" w:rsidR="00E25C1D" w:rsidRPr="007542B3" w:rsidRDefault="00E25C1D" w:rsidP="002D0F9A">
            <w:pPr>
              <w:rPr>
                <w:rFonts w:ascii="Arial" w:hAnsi="Arial" w:cs="Arial"/>
              </w:rPr>
            </w:pPr>
          </w:p>
        </w:tc>
        <w:tc>
          <w:tcPr>
            <w:tcW w:w="4058" w:type="dxa"/>
          </w:tcPr>
          <w:p w14:paraId="5BC3433D" w14:textId="77777777" w:rsidR="00E25C1D" w:rsidRPr="007542B3" w:rsidRDefault="00E25C1D" w:rsidP="002D0F9A">
            <w:pPr>
              <w:rPr>
                <w:rFonts w:ascii="Arial" w:hAnsi="Arial" w:cs="Arial"/>
              </w:rPr>
            </w:pPr>
          </w:p>
        </w:tc>
      </w:tr>
      <w:tr w:rsidR="00E25C1D" w:rsidRPr="002408A8" w14:paraId="4549964B" w14:textId="77777777" w:rsidTr="00232C36">
        <w:trPr>
          <w:trHeight w:val="794"/>
        </w:trPr>
        <w:tc>
          <w:tcPr>
            <w:tcW w:w="1805" w:type="dxa"/>
            <w:shd w:val="clear" w:color="auto" w:fill="auto"/>
            <w:vAlign w:val="center"/>
          </w:tcPr>
          <w:p w14:paraId="6C52FB51" w14:textId="77777777" w:rsidR="00E25C1D" w:rsidRPr="007542B3" w:rsidRDefault="00E25C1D" w:rsidP="002D0F9A">
            <w:pPr>
              <w:rPr>
                <w:rFonts w:ascii="Arial" w:hAnsi="Arial" w:cs="Arial"/>
                <w:b/>
              </w:rPr>
            </w:pPr>
            <w:r w:rsidRPr="007542B3">
              <w:rPr>
                <w:rFonts w:ascii="Arial" w:hAnsi="Arial" w:cs="Arial"/>
                <w:b/>
              </w:rPr>
              <w:t>Religion</w:t>
            </w:r>
          </w:p>
        </w:tc>
        <w:tc>
          <w:tcPr>
            <w:tcW w:w="1596" w:type="dxa"/>
            <w:shd w:val="clear" w:color="auto" w:fill="auto"/>
            <w:vAlign w:val="center"/>
          </w:tcPr>
          <w:p w14:paraId="4680533A" w14:textId="77777777" w:rsidR="00E25C1D" w:rsidRPr="007542B3" w:rsidRDefault="00E25C1D" w:rsidP="002D0F9A">
            <w:pPr>
              <w:rPr>
                <w:rFonts w:ascii="Arial" w:hAnsi="Arial" w:cs="Arial"/>
              </w:rPr>
            </w:pPr>
          </w:p>
        </w:tc>
        <w:tc>
          <w:tcPr>
            <w:tcW w:w="1537" w:type="dxa"/>
          </w:tcPr>
          <w:p w14:paraId="4405BB33" w14:textId="77777777" w:rsidR="00E25C1D" w:rsidRPr="007542B3" w:rsidRDefault="00E25C1D" w:rsidP="002D0F9A">
            <w:pPr>
              <w:rPr>
                <w:rFonts w:ascii="Arial" w:hAnsi="Arial" w:cs="Arial"/>
              </w:rPr>
            </w:pPr>
          </w:p>
        </w:tc>
        <w:tc>
          <w:tcPr>
            <w:tcW w:w="1094" w:type="dxa"/>
          </w:tcPr>
          <w:p w14:paraId="2AEB7948" w14:textId="77777777" w:rsidR="00E25C1D" w:rsidRPr="007542B3" w:rsidRDefault="00E25C1D" w:rsidP="002D0F9A">
            <w:pPr>
              <w:rPr>
                <w:rFonts w:ascii="Arial" w:hAnsi="Arial" w:cs="Arial"/>
              </w:rPr>
            </w:pPr>
          </w:p>
        </w:tc>
        <w:tc>
          <w:tcPr>
            <w:tcW w:w="4058" w:type="dxa"/>
          </w:tcPr>
          <w:p w14:paraId="26988C42" w14:textId="77777777" w:rsidR="00E25C1D" w:rsidRPr="007542B3" w:rsidRDefault="00E25C1D" w:rsidP="002D0F9A">
            <w:pPr>
              <w:rPr>
                <w:rFonts w:ascii="Arial" w:hAnsi="Arial" w:cs="Arial"/>
              </w:rPr>
            </w:pPr>
          </w:p>
        </w:tc>
      </w:tr>
      <w:tr w:rsidR="00E25C1D" w:rsidRPr="002408A8" w14:paraId="19C29666" w14:textId="77777777" w:rsidTr="00232C36">
        <w:trPr>
          <w:trHeight w:val="794"/>
        </w:trPr>
        <w:tc>
          <w:tcPr>
            <w:tcW w:w="1805" w:type="dxa"/>
            <w:shd w:val="clear" w:color="auto" w:fill="auto"/>
            <w:vAlign w:val="center"/>
          </w:tcPr>
          <w:p w14:paraId="33179EAD" w14:textId="77777777" w:rsidR="00E25C1D" w:rsidRPr="007542B3" w:rsidRDefault="00E25C1D" w:rsidP="002D0F9A">
            <w:pPr>
              <w:rPr>
                <w:rFonts w:ascii="Arial" w:hAnsi="Arial" w:cs="Arial"/>
                <w:b/>
              </w:rPr>
            </w:pPr>
            <w:r w:rsidRPr="007542B3">
              <w:rPr>
                <w:rFonts w:ascii="Arial" w:hAnsi="Arial" w:cs="Arial"/>
                <w:b/>
              </w:rPr>
              <w:t>Sex</w:t>
            </w:r>
          </w:p>
        </w:tc>
        <w:tc>
          <w:tcPr>
            <w:tcW w:w="1596" w:type="dxa"/>
            <w:shd w:val="clear" w:color="auto" w:fill="auto"/>
            <w:vAlign w:val="center"/>
          </w:tcPr>
          <w:p w14:paraId="2C2F2E1D" w14:textId="77777777" w:rsidR="00E25C1D" w:rsidRPr="007542B3" w:rsidRDefault="00E25C1D" w:rsidP="002D0F9A">
            <w:pPr>
              <w:rPr>
                <w:rFonts w:ascii="Arial" w:hAnsi="Arial" w:cs="Arial"/>
              </w:rPr>
            </w:pPr>
          </w:p>
        </w:tc>
        <w:tc>
          <w:tcPr>
            <w:tcW w:w="1537" w:type="dxa"/>
          </w:tcPr>
          <w:p w14:paraId="2908CB27" w14:textId="77777777" w:rsidR="00E25C1D" w:rsidRPr="007542B3" w:rsidRDefault="00E25C1D" w:rsidP="002D0F9A">
            <w:pPr>
              <w:rPr>
                <w:rFonts w:ascii="Arial" w:hAnsi="Arial" w:cs="Arial"/>
              </w:rPr>
            </w:pPr>
          </w:p>
        </w:tc>
        <w:tc>
          <w:tcPr>
            <w:tcW w:w="1094" w:type="dxa"/>
          </w:tcPr>
          <w:p w14:paraId="51666EFC" w14:textId="77777777" w:rsidR="00E25C1D" w:rsidRPr="007542B3" w:rsidRDefault="00E25C1D" w:rsidP="002D0F9A">
            <w:pPr>
              <w:rPr>
                <w:rFonts w:ascii="Arial" w:hAnsi="Arial" w:cs="Arial"/>
              </w:rPr>
            </w:pPr>
          </w:p>
        </w:tc>
        <w:tc>
          <w:tcPr>
            <w:tcW w:w="4058" w:type="dxa"/>
          </w:tcPr>
          <w:p w14:paraId="61BC8EE3" w14:textId="77777777" w:rsidR="00E25C1D" w:rsidRPr="007542B3" w:rsidRDefault="00E25C1D" w:rsidP="002D0F9A">
            <w:pPr>
              <w:rPr>
                <w:rFonts w:ascii="Arial" w:hAnsi="Arial" w:cs="Arial"/>
              </w:rPr>
            </w:pPr>
          </w:p>
        </w:tc>
      </w:tr>
      <w:tr w:rsidR="00E25C1D" w:rsidRPr="002408A8" w14:paraId="04B74A25" w14:textId="77777777" w:rsidTr="00232C36">
        <w:trPr>
          <w:trHeight w:val="794"/>
        </w:trPr>
        <w:tc>
          <w:tcPr>
            <w:tcW w:w="1805" w:type="dxa"/>
            <w:shd w:val="clear" w:color="auto" w:fill="auto"/>
            <w:vAlign w:val="center"/>
          </w:tcPr>
          <w:p w14:paraId="59108B2A" w14:textId="77777777" w:rsidR="00E25C1D" w:rsidRPr="007542B3" w:rsidRDefault="00E25C1D" w:rsidP="002D0F9A">
            <w:pPr>
              <w:rPr>
                <w:rFonts w:ascii="Arial" w:hAnsi="Arial" w:cs="Arial"/>
                <w:b/>
              </w:rPr>
            </w:pPr>
            <w:r w:rsidRPr="007542B3">
              <w:rPr>
                <w:rFonts w:ascii="Arial" w:hAnsi="Arial" w:cs="Arial"/>
                <w:b/>
              </w:rPr>
              <w:t>Sexual Orientation</w:t>
            </w:r>
          </w:p>
        </w:tc>
        <w:tc>
          <w:tcPr>
            <w:tcW w:w="1596" w:type="dxa"/>
            <w:shd w:val="clear" w:color="auto" w:fill="auto"/>
            <w:vAlign w:val="center"/>
          </w:tcPr>
          <w:p w14:paraId="6AB7A85E" w14:textId="77777777" w:rsidR="00E25C1D" w:rsidRPr="007542B3" w:rsidRDefault="00E25C1D" w:rsidP="002D0F9A">
            <w:pPr>
              <w:rPr>
                <w:rFonts w:ascii="Arial" w:hAnsi="Arial" w:cs="Arial"/>
              </w:rPr>
            </w:pPr>
          </w:p>
        </w:tc>
        <w:tc>
          <w:tcPr>
            <w:tcW w:w="1537" w:type="dxa"/>
          </w:tcPr>
          <w:p w14:paraId="22C2FD62" w14:textId="77777777" w:rsidR="00E25C1D" w:rsidRPr="007542B3" w:rsidRDefault="00E25C1D" w:rsidP="002D0F9A">
            <w:pPr>
              <w:rPr>
                <w:rFonts w:ascii="Arial" w:hAnsi="Arial" w:cs="Arial"/>
              </w:rPr>
            </w:pPr>
          </w:p>
        </w:tc>
        <w:tc>
          <w:tcPr>
            <w:tcW w:w="1094" w:type="dxa"/>
          </w:tcPr>
          <w:p w14:paraId="2D7F6D46" w14:textId="77777777" w:rsidR="00E25C1D" w:rsidRPr="007542B3" w:rsidRDefault="00E25C1D" w:rsidP="002D0F9A">
            <w:pPr>
              <w:rPr>
                <w:rFonts w:ascii="Arial" w:hAnsi="Arial" w:cs="Arial"/>
              </w:rPr>
            </w:pPr>
          </w:p>
        </w:tc>
        <w:tc>
          <w:tcPr>
            <w:tcW w:w="4058" w:type="dxa"/>
          </w:tcPr>
          <w:p w14:paraId="0C8FD3A6" w14:textId="77777777" w:rsidR="00E25C1D" w:rsidRPr="007542B3" w:rsidRDefault="00E25C1D" w:rsidP="002D0F9A">
            <w:pPr>
              <w:rPr>
                <w:rFonts w:ascii="Arial" w:hAnsi="Arial" w:cs="Arial"/>
              </w:rPr>
            </w:pPr>
          </w:p>
        </w:tc>
      </w:tr>
      <w:tr w:rsidR="00E25C1D" w:rsidRPr="002408A8" w14:paraId="61B2277D" w14:textId="77777777" w:rsidTr="00232C36">
        <w:trPr>
          <w:trHeight w:val="567"/>
        </w:trPr>
        <w:tc>
          <w:tcPr>
            <w:tcW w:w="10090" w:type="dxa"/>
            <w:gridSpan w:val="5"/>
            <w:shd w:val="clear" w:color="auto" w:fill="auto"/>
            <w:vAlign w:val="center"/>
          </w:tcPr>
          <w:p w14:paraId="06A421D2" w14:textId="77777777" w:rsidR="00E25C1D" w:rsidRPr="007542B3" w:rsidRDefault="00E25C1D" w:rsidP="002D0F9A">
            <w:pPr>
              <w:rPr>
                <w:rFonts w:ascii="Arial" w:hAnsi="Arial" w:cs="Arial"/>
                <w:i/>
              </w:rPr>
            </w:pPr>
            <w:r w:rsidRPr="007542B3">
              <w:rPr>
                <w:rFonts w:ascii="Arial" w:hAnsi="Arial" w:cs="Arial"/>
                <w:i/>
              </w:rPr>
              <w:t xml:space="preserve">You may also want to consider Socio-economic status which covers an individual or family’s economic and social position in relation to others, based on income, education, and occupation. </w:t>
            </w:r>
          </w:p>
        </w:tc>
      </w:tr>
      <w:tr w:rsidR="00E25C1D" w:rsidRPr="002408A8" w14:paraId="1714CA99" w14:textId="77777777" w:rsidTr="00232C36">
        <w:trPr>
          <w:trHeight w:val="794"/>
        </w:trPr>
        <w:tc>
          <w:tcPr>
            <w:tcW w:w="1805" w:type="dxa"/>
            <w:shd w:val="clear" w:color="auto" w:fill="auto"/>
            <w:vAlign w:val="center"/>
          </w:tcPr>
          <w:p w14:paraId="0AA1DB14" w14:textId="77777777" w:rsidR="00E25C1D" w:rsidRPr="007542B3" w:rsidRDefault="00E25C1D" w:rsidP="002D0F9A">
            <w:pPr>
              <w:rPr>
                <w:rFonts w:ascii="Arial" w:hAnsi="Arial" w:cs="Arial"/>
                <w:b/>
              </w:rPr>
            </w:pPr>
            <w:r w:rsidRPr="007542B3">
              <w:rPr>
                <w:rFonts w:ascii="Arial" w:hAnsi="Arial" w:cs="Arial"/>
                <w:b/>
              </w:rPr>
              <w:t>Socio-economic status</w:t>
            </w:r>
          </w:p>
        </w:tc>
        <w:tc>
          <w:tcPr>
            <w:tcW w:w="1596" w:type="dxa"/>
            <w:shd w:val="clear" w:color="auto" w:fill="auto"/>
            <w:vAlign w:val="center"/>
          </w:tcPr>
          <w:p w14:paraId="7E5E3A9F" w14:textId="77777777" w:rsidR="00E25C1D" w:rsidRPr="007542B3" w:rsidRDefault="00E25C1D" w:rsidP="002D0F9A">
            <w:pPr>
              <w:rPr>
                <w:rFonts w:ascii="Arial" w:hAnsi="Arial" w:cs="Arial"/>
              </w:rPr>
            </w:pPr>
          </w:p>
        </w:tc>
        <w:tc>
          <w:tcPr>
            <w:tcW w:w="1537" w:type="dxa"/>
          </w:tcPr>
          <w:p w14:paraId="7FFBD3FA" w14:textId="77777777" w:rsidR="00E25C1D" w:rsidRPr="007542B3" w:rsidRDefault="00E25C1D" w:rsidP="002D0F9A">
            <w:pPr>
              <w:rPr>
                <w:rFonts w:ascii="Arial" w:hAnsi="Arial" w:cs="Arial"/>
              </w:rPr>
            </w:pPr>
          </w:p>
        </w:tc>
        <w:tc>
          <w:tcPr>
            <w:tcW w:w="1094" w:type="dxa"/>
          </w:tcPr>
          <w:p w14:paraId="7B002583" w14:textId="77777777" w:rsidR="00E25C1D" w:rsidRPr="007542B3" w:rsidRDefault="00E25C1D" w:rsidP="002D0F9A">
            <w:pPr>
              <w:rPr>
                <w:rFonts w:ascii="Arial" w:hAnsi="Arial" w:cs="Arial"/>
                <w:i/>
              </w:rPr>
            </w:pPr>
          </w:p>
        </w:tc>
        <w:tc>
          <w:tcPr>
            <w:tcW w:w="4058" w:type="dxa"/>
          </w:tcPr>
          <w:p w14:paraId="4FAC10FE" w14:textId="77777777" w:rsidR="00E25C1D" w:rsidRPr="007542B3" w:rsidRDefault="00E25C1D" w:rsidP="002D0F9A">
            <w:pPr>
              <w:rPr>
                <w:rFonts w:ascii="Arial" w:hAnsi="Arial" w:cs="Arial"/>
                <w:iCs/>
              </w:rPr>
            </w:pPr>
          </w:p>
        </w:tc>
      </w:tr>
    </w:tbl>
    <w:p w14:paraId="13AD1FC2" w14:textId="77777777" w:rsidR="00E25C1D" w:rsidRPr="007542B3" w:rsidRDefault="00E25C1D" w:rsidP="00E25C1D">
      <w:pPr>
        <w:rPr>
          <w:rFonts w:ascii="Arial" w:hAnsi="Arial" w:cs="Arial"/>
        </w:rPr>
      </w:pPr>
    </w:p>
    <w:tbl>
      <w:tblPr>
        <w:tblW w:w="10093" w:type="dxa"/>
        <w:tblInd w:w="-46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73"/>
        <w:gridCol w:w="755"/>
        <w:gridCol w:w="6265"/>
      </w:tblGrid>
      <w:tr w:rsidR="00E25C1D" w:rsidRPr="002408A8" w14:paraId="0B7B008E" w14:textId="77777777" w:rsidTr="00AF45AD">
        <w:tc>
          <w:tcPr>
            <w:tcW w:w="3073" w:type="dxa"/>
            <w:shd w:val="clear" w:color="auto" w:fill="BDD6EE"/>
            <w:vAlign w:val="center"/>
          </w:tcPr>
          <w:p w14:paraId="73A81696" w14:textId="77777777" w:rsidR="00E25C1D" w:rsidRPr="007542B3" w:rsidRDefault="00E25C1D" w:rsidP="002D0F9A">
            <w:pPr>
              <w:rPr>
                <w:rFonts w:ascii="Arial" w:hAnsi="Arial" w:cs="Arial"/>
                <w:b/>
              </w:rPr>
            </w:pPr>
            <w:r w:rsidRPr="007542B3">
              <w:rPr>
                <w:rFonts w:ascii="Arial" w:hAnsi="Arial" w:cs="Arial"/>
                <w:b/>
              </w:rPr>
              <w:t>Have you involved any third parties to assist in the identification of or reduction of any impact?</w:t>
            </w:r>
          </w:p>
        </w:tc>
        <w:tc>
          <w:tcPr>
            <w:tcW w:w="7017" w:type="dxa"/>
            <w:gridSpan w:val="2"/>
            <w:shd w:val="clear" w:color="auto" w:fill="auto"/>
            <w:vAlign w:val="center"/>
          </w:tcPr>
          <w:p w14:paraId="127772C7" w14:textId="77777777" w:rsidR="00E25C1D" w:rsidRPr="007542B3" w:rsidRDefault="00E25C1D" w:rsidP="002D0F9A">
            <w:pPr>
              <w:rPr>
                <w:rFonts w:ascii="Arial" w:hAnsi="Arial" w:cs="Arial"/>
                <w:i/>
              </w:rPr>
            </w:pPr>
          </w:p>
        </w:tc>
      </w:tr>
      <w:tr w:rsidR="00E25C1D" w:rsidRPr="002408A8" w14:paraId="590AFFDE" w14:textId="77777777" w:rsidTr="00AF45AD">
        <w:tc>
          <w:tcPr>
            <w:tcW w:w="3073" w:type="dxa"/>
            <w:shd w:val="clear" w:color="auto" w:fill="BDD6EE"/>
            <w:vAlign w:val="center"/>
          </w:tcPr>
          <w:p w14:paraId="08D10D46" w14:textId="77777777" w:rsidR="00E25C1D" w:rsidRPr="007542B3" w:rsidRDefault="00E25C1D" w:rsidP="002D0F9A">
            <w:pPr>
              <w:rPr>
                <w:rFonts w:ascii="Arial" w:hAnsi="Arial" w:cs="Arial"/>
                <w:b/>
              </w:rPr>
            </w:pPr>
            <w:r w:rsidRPr="007542B3">
              <w:rPr>
                <w:rFonts w:ascii="Arial" w:hAnsi="Arial" w:cs="Arial"/>
                <w:b/>
              </w:rPr>
              <w:t>Does the applicant require an advocate?</w:t>
            </w:r>
          </w:p>
        </w:tc>
        <w:tc>
          <w:tcPr>
            <w:tcW w:w="7017" w:type="dxa"/>
            <w:gridSpan w:val="2"/>
            <w:shd w:val="clear" w:color="auto" w:fill="auto"/>
            <w:vAlign w:val="center"/>
          </w:tcPr>
          <w:p w14:paraId="56F6E70F" w14:textId="77777777" w:rsidR="00E25C1D" w:rsidRPr="007542B3" w:rsidRDefault="00E25C1D" w:rsidP="002D0F9A">
            <w:pPr>
              <w:rPr>
                <w:rFonts w:ascii="Arial" w:hAnsi="Arial" w:cs="Arial"/>
                <w:iCs/>
              </w:rPr>
            </w:pPr>
          </w:p>
        </w:tc>
      </w:tr>
      <w:tr w:rsidR="00E25C1D" w:rsidRPr="002408A8" w14:paraId="6D25A514" w14:textId="77777777" w:rsidTr="00AF45AD">
        <w:tc>
          <w:tcPr>
            <w:tcW w:w="3073" w:type="dxa"/>
            <w:shd w:val="clear" w:color="auto" w:fill="BDD6EE"/>
            <w:vAlign w:val="center"/>
          </w:tcPr>
          <w:p w14:paraId="1606C430" w14:textId="77777777" w:rsidR="00E25C1D" w:rsidRPr="007542B3" w:rsidRDefault="00E25C1D" w:rsidP="002D0F9A">
            <w:pPr>
              <w:rPr>
                <w:rFonts w:ascii="Arial" w:hAnsi="Arial" w:cs="Arial"/>
                <w:b/>
              </w:rPr>
            </w:pPr>
            <w:r w:rsidRPr="007542B3">
              <w:rPr>
                <w:rFonts w:ascii="Arial" w:hAnsi="Arial" w:cs="Arial"/>
                <w:b/>
              </w:rPr>
              <w:t>Do you need to involve other/additional services, departments and/or partners. If so, please state.</w:t>
            </w:r>
          </w:p>
        </w:tc>
        <w:tc>
          <w:tcPr>
            <w:tcW w:w="7017" w:type="dxa"/>
            <w:gridSpan w:val="2"/>
            <w:shd w:val="clear" w:color="auto" w:fill="auto"/>
            <w:vAlign w:val="center"/>
          </w:tcPr>
          <w:p w14:paraId="1CA1256E" w14:textId="77777777" w:rsidR="00E25C1D" w:rsidRPr="007542B3" w:rsidRDefault="00E25C1D" w:rsidP="002D0F9A">
            <w:pPr>
              <w:rPr>
                <w:rFonts w:ascii="Arial" w:hAnsi="Arial" w:cs="Arial"/>
                <w:iCs/>
              </w:rPr>
            </w:pPr>
          </w:p>
        </w:tc>
      </w:tr>
      <w:tr w:rsidR="00E25C1D" w:rsidRPr="002408A8" w14:paraId="260C4A5C" w14:textId="77777777" w:rsidTr="00AF45AD">
        <w:tc>
          <w:tcPr>
            <w:tcW w:w="3073" w:type="dxa"/>
            <w:shd w:val="clear" w:color="auto" w:fill="BDD6EE"/>
            <w:vAlign w:val="center"/>
          </w:tcPr>
          <w:p w14:paraId="583AF257" w14:textId="77777777" w:rsidR="00E25C1D" w:rsidRPr="007542B3" w:rsidRDefault="00E25C1D" w:rsidP="002D0F9A">
            <w:pPr>
              <w:rPr>
                <w:rFonts w:ascii="Arial" w:hAnsi="Arial" w:cs="Arial"/>
                <w:b/>
              </w:rPr>
            </w:pPr>
            <w:r w:rsidRPr="007542B3">
              <w:rPr>
                <w:rFonts w:ascii="Arial" w:hAnsi="Arial" w:cs="Arial"/>
                <w:b/>
              </w:rPr>
              <w:t xml:space="preserve">Do you need to make any adjustments? If so when and how will this be actioned. </w:t>
            </w:r>
          </w:p>
        </w:tc>
        <w:tc>
          <w:tcPr>
            <w:tcW w:w="7017" w:type="dxa"/>
            <w:gridSpan w:val="2"/>
            <w:shd w:val="clear" w:color="auto" w:fill="auto"/>
            <w:vAlign w:val="center"/>
          </w:tcPr>
          <w:p w14:paraId="686FDA08" w14:textId="77777777" w:rsidR="00E25C1D" w:rsidRPr="007542B3" w:rsidRDefault="00E25C1D" w:rsidP="002D0F9A">
            <w:pPr>
              <w:rPr>
                <w:rFonts w:ascii="Arial" w:hAnsi="Arial" w:cs="Arial"/>
                <w:iCs/>
              </w:rPr>
            </w:pPr>
          </w:p>
        </w:tc>
      </w:tr>
      <w:tr w:rsidR="00E25C1D" w:rsidRPr="002408A8" w14:paraId="4054C7D3" w14:textId="77777777" w:rsidTr="00AF45AD">
        <w:tc>
          <w:tcPr>
            <w:tcW w:w="3073" w:type="dxa"/>
            <w:shd w:val="clear" w:color="auto" w:fill="BDD6EE"/>
            <w:vAlign w:val="center"/>
          </w:tcPr>
          <w:p w14:paraId="408D8303" w14:textId="77777777" w:rsidR="00E25C1D" w:rsidRPr="007542B3" w:rsidRDefault="00E25C1D" w:rsidP="002D0F9A">
            <w:pPr>
              <w:rPr>
                <w:rFonts w:ascii="Arial" w:hAnsi="Arial" w:cs="Arial"/>
                <w:b/>
              </w:rPr>
            </w:pPr>
            <w:r w:rsidRPr="007542B3">
              <w:rPr>
                <w:rFonts w:ascii="Arial" w:hAnsi="Arial" w:cs="Arial"/>
                <w:b/>
              </w:rPr>
              <w:lastRenderedPageBreak/>
              <w:t>Do you need more information to carry out the assessment?</w:t>
            </w:r>
          </w:p>
          <w:p w14:paraId="0FE7F0E5" w14:textId="77777777" w:rsidR="00E25C1D" w:rsidRPr="007542B3" w:rsidRDefault="00E25C1D" w:rsidP="002D0F9A">
            <w:pPr>
              <w:rPr>
                <w:rFonts w:ascii="Arial" w:hAnsi="Arial" w:cs="Arial"/>
                <w:b/>
              </w:rPr>
            </w:pPr>
          </w:p>
        </w:tc>
        <w:tc>
          <w:tcPr>
            <w:tcW w:w="7017" w:type="dxa"/>
            <w:gridSpan w:val="2"/>
            <w:shd w:val="clear" w:color="auto" w:fill="auto"/>
            <w:vAlign w:val="center"/>
          </w:tcPr>
          <w:p w14:paraId="50113CC2" w14:textId="77777777" w:rsidR="00E25C1D" w:rsidRPr="007542B3" w:rsidRDefault="00E25C1D" w:rsidP="002D0F9A">
            <w:pPr>
              <w:rPr>
                <w:rFonts w:ascii="Arial" w:hAnsi="Arial" w:cs="Arial"/>
                <w:bCs/>
                <w:iCs/>
              </w:rPr>
            </w:pPr>
          </w:p>
        </w:tc>
      </w:tr>
      <w:tr w:rsidR="00E25C1D" w:rsidRPr="002408A8" w14:paraId="62558535" w14:textId="77777777" w:rsidTr="00AF45AD">
        <w:trPr>
          <w:trHeight w:val="1970"/>
        </w:trPr>
        <w:tc>
          <w:tcPr>
            <w:tcW w:w="3073" w:type="dxa"/>
            <w:shd w:val="clear" w:color="auto" w:fill="BDD6EE"/>
            <w:vAlign w:val="center"/>
          </w:tcPr>
          <w:p w14:paraId="0F82D255" w14:textId="77777777" w:rsidR="00E25C1D" w:rsidRPr="007542B3" w:rsidRDefault="00E25C1D" w:rsidP="002D0F9A">
            <w:pPr>
              <w:rPr>
                <w:rFonts w:ascii="Arial" w:hAnsi="Arial" w:cs="Arial"/>
                <w:b/>
              </w:rPr>
            </w:pPr>
            <w:r w:rsidRPr="007542B3">
              <w:rPr>
                <w:rFonts w:ascii="Arial" w:hAnsi="Arial" w:cs="Arial"/>
                <w:b/>
              </w:rPr>
              <w:t xml:space="preserve">What is your conclusion and Recommendations? </w:t>
            </w:r>
          </w:p>
          <w:p w14:paraId="28CBB0D7" w14:textId="77777777" w:rsidR="00E25C1D" w:rsidRPr="007542B3" w:rsidRDefault="00E25C1D" w:rsidP="002D0F9A">
            <w:pPr>
              <w:rPr>
                <w:rFonts w:ascii="Arial" w:hAnsi="Arial" w:cs="Arial"/>
                <w:b/>
              </w:rPr>
            </w:pPr>
          </w:p>
        </w:tc>
        <w:tc>
          <w:tcPr>
            <w:tcW w:w="7017" w:type="dxa"/>
            <w:gridSpan w:val="2"/>
            <w:shd w:val="clear" w:color="auto" w:fill="auto"/>
            <w:vAlign w:val="center"/>
          </w:tcPr>
          <w:p w14:paraId="294BF728" w14:textId="77777777" w:rsidR="00E25C1D" w:rsidRPr="007542B3" w:rsidRDefault="00E25C1D" w:rsidP="002D0F9A">
            <w:pPr>
              <w:ind w:left="360"/>
              <w:rPr>
                <w:rFonts w:ascii="Arial" w:hAnsi="Arial" w:cs="Arial"/>
                <w:i/>
              </w:rPr>
            </w:pPr>
          </w:p>
        </w:tc>
      </w:tr>
      <w:tr w:rsidR="00E25C1D" w:rsidRPr="002408A8" w14:paraId="14E1C2A4" w14:textId="77777777" w:rsidTr="00AF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65" w:type="dxa"/>
        </w:trPr>
        <w:tc>
          <w:tcPr>
            <w:tcW w:w="3828" w:type="dxa"/>
            <w:gridSpan w:val="2"/>
            <w:shd w:val="clear" w:color="auto" w:fill="BDD6EE"/>
          </w:tcPr>
          <w:p w14:paraId="18F11E23" w14:textId="77777777" w:rsidR="00E25C1D" w:rsidRPr="007542B3" w:rsidRDefault="00E25C1D" w:rsidP="002D0F9A">
            <w:pPr>
              <w:rPr>
                <w:rFonts w:ascii="Arial" w:hAnsi="Arial" w:cs="Arial"/>
                <w:color w:val="FF0000"/>
              </w:rPr>
            </w:pPr>
          </w:p>
          <w:p w14:paraId="751DD783" w14:textId="77777777" w:rsidR="00E25C1D" w:rsidRPr="007542B3" w:rsidRDefault="00E25C1D" w:rsidP="002D0F9A">
            <w:pPr>
              <w:rPr>
                <w:rFonts w:ascii="Arial" w:hAnsi="Arial" w:cs="Arial"/>
                <w:b/>
                <w:bCs/>
              </w:rPr>
            </w:pPr>
            <w:r w:rsidRPr="007542B3">
              <w:rPr>
                <w:rFonts w:ascii="Arial" w:hAnsi="Arial" w:cs="Arial"/>
                <w:b/>
                <w:bCs/>
              </w:rPr>
              <w:t>Justification for Action</w:t>
            </w:r>
          </w:p>
        </w:tc>
      </w:tr>
      <w:tr w:rsidR="00E25C1D" w:rsidRPr="002408A8" w14:paraId="6BC00B02" w14:textId="77777777" w:rsidTr="00AF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2"/>
            <w:shd w:val="clear" w:color="auto" w:fill="auto"/>
          </w:tcPr>
          <w:p w14:paraId="33F4BF68" w14:textId="77777777" w:rsidR="00E25C1D" w:rsidRPr="007542B3" w:rsidRDefault="00E25C1D" w:rsidP="002D0F9A">
            <w:pPr>
              <w:rPr>
                <w:rFonts w:ascii="Arial" w:hAnsi="Arial" w:cs="Arial"/>
                <w:b/>
                <w:bCs/>
              </w:rPr>
            </w:pPr>
          </w:p>
          <w:p w14:paraId="4F5FCA9A" w14:textId="77777777" w:rsidR="00E25C1D" w:rsidRPr="007542B3" w:rsidRDefault="00E25C1D" w:rsidP="002D0F9A">
            <w:pPr>
              <w:rPr>
                <w:rFonts w:ascii="Arial" w:hAnsi="Arial" w:cs="Arial"/>
                <w:b/>
                <w:bCs/>
              </w:rPr>
            </w:pPr>
            <w:r w:rsidRPr="007542B3">
              <w:rPr>
                <w:rFonts w:ascii="Arial" w:hAnsi="Arial" w:cs="Arial"/>
                <w:b/>
                <w:bCs/>
              </w:rPr>
              <w:t>Have you already carried out an interview with the applicant?</w:t>
            </w:r>
          </w:p>
          <w:p w14:paraId="28EC5D46" w14:textId="77777777" w:rsidR="00E25C1D" w:rsidRPr="007542B3" w:rsidRDefault="00E25C1D" w:rsidP="002D0F9A">
            <w:pPr>
              <w:rPr>
                <w:rFonts w:ascii="Arial" w:hAnsi="Arial" w:cs="Arial"/>
                <w:b/>
                <w:bCs/>
              </w:rPr>
            </w:pPr>
          </w:p>
        </w:tc>
        <w:tc>
          <w:tcPr>
            <w:tcW w:w="6265" w:type="dxa"/>
            <w:shd w:val="clear" w:color="auto" w:fill="auto"/>
          </w:tcPr>
          <w:p w14:paraId="0EC30C6B" w14:textId="77777777" w:rsidR="00E25C1D" w:rsidRPr="007542B3" w:rsidRDefault="00E25C1D" w:rsidP="002D0F9A">
            <w:pPr>
              <w:rPr>
                <w:rFonts w:ascii="Arial" w:hAnsi="Arial" w:cs="Arial"/>
              </w:rPr>
            </w:pPr>
          </w:p>
        </w:tc>
      </w:tr>
      <w:tr w:rsidR="00E25C1D" w:rsidRPr="002408A8" w14:paraId="7E7D15DE" w14:textId="77777777" w:rsidTr="00AF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2"/>
            <w:shd w:val="clear" w:color="auto" w:fill="auto"/>
          </w:tcPr>
          <w:p w14:paraId="41733706" w14:textId="77777777" w:rsidR="00E25C1D" w:rsidRPr="007542B3" w:rsidRDefault="00E25C1D" w:rsidP="002D0F9A">
            <w:pPr>
              <w:rPr>
                <w:rFonts w:ascii="Arial" w:hAnsi="Arial" w:cs="Arial"/>
              </w:rPr>
            </w:pPr>
          </w:p>
          <w:p w14:paraId="7C12BF36" w14:textId="77777777" w:rsidR="00E25C1D" w:rsidRPr="007542B3" w:rsidRDefault="00E25C1D" w:rsidP="002D0F9A">
            <w:pPr>
              <w:rPr>
                <w:rFonts w:ascii="Arial" w:hAnsi="Arial" w:cs="Arial"/>
                <w:b/>
                <w:bCs/>
              </w:rPr>
            </w:pPr>
            <w:r w:rsidRPr="007542B3">
              <w:rPr>
                <w:rFonts w:ascii="Arial" w:hAnsi="Arial" w:cs="Arial"/>
                <w:b/>
                <w:bCs/>
              </w:rPr>
              <w:t>Is it Proportionate?</w:t>
            </w:r>
          </w:p>
          <w:p w14:paraId="763E793E" w14:textId="77777777" w:rsidR="00E25C1D" w:rsidRPr="007542B3" w:rsidRDefault="00E25C1D" w:rsidP="002D0F9A">
            <w:pPr>
              <w:rPr>
                <w:rFonts w:ascii="Arial" w:hAnsi="Arial" w:cs="Arial"/>
              </w:rPr>
            </w:pPr>
          </w:p>
        </w:tc>
        <w:tc>
          <w:tcPr>
            <w:tcW w:w="6265" w:type="dxa"/>
            <w:shd w:val="clear" w:color="auto" w:fill="auto"/>
          </w:tcPr>
          <w:p w14:paraId="55BE3ED3" w14:textId="77777777" w:rsidR="00E25C1D" w:rsidRPr="007542B3" w:rsidRDefault="00E25C1D" w:rsidP="002D0F9A">
            <w:pPr>
              <w:rPr>
                <w:rFonts w:ascii="Arial" w:hAnsi="Arial" w:cs="Arial"/>
              </w:rPr>
            </w:pPr>
          </w:p>
        </w:tc>
      </w:tr>
      <w:tr w:rsidR="00E25C1D" w:rsidRPr="002408A8" w14:paraId="7CD642DD" w14:textId="77777777" w:rsidTr="00AF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2"/>
            <w:shd w:val="clear" w:color="auto" w:fill="auto"/>
          </w:tcPr>
          <w:p w14:paraId="1FBCD119" w14:textId="77777777" w:rsidR="00E25C1D" w:rsidRPr="007542B3" w:rsidRDefault="00E25C1D" w:rsidP="002D0F9A">
            <w:pPr>
              <w:rPr>
                <w:rFonts w:ascii="Arial" w:hAnsi="Arial" w:cs="Arial"/>
                <w:b/>
                <w:bCs/>
              </w:rPr>
            </w:pPr>
          </w:p>
          <w:p w14:paraId="29AE71D8" w14:textId="77777777" w:rsidR="00E25C1D" w:rsidRPr="007542B3" w:rsidRDefault="00E25C1D" w:rsidP="002D0F9A">
            <w:pPr>
              <w:rPr>
                <w:rFonts w:ascii="Arial" w:hAnsi="Arial" w:cs="Arial"/>
                <w:b/>
                <w:bCs/>
              </w:rPr>
            </w:pPr>
            <w:r w:rsidRPr="007542B3">
              <w:rPr>
                <w:rFonts w:ascii="Arial" w:hAnsi="Arial" w:cs="Arial"/>
                <w:b/>
                <w:bCs/>
              </w:rPr>
              <w:t xml:space="preserve">Is it Justified? </w:t>
            </w:r>
          </w:p>
          <w:p w14:paraId="24522311" w14:textId="77777777" w:rsidR="00E25C1D" w:rsidRPr="007542B3" w:rsidRDefault="00E25C1D" w:rsidP="002D0F9A">
            <w:pPr>
              <w:rPr>
                <w:rFonts w:ascii="Arial" w:hAnsi="Arial" w:cs="Arial"/>
              </w:rPr>
            </w:pPr>
          </w:p>
        </w:tc>
        <w:tc>
          <w:tcPr>
            <w:tcW w:w="6265" w:type="dxa"/>
            <w:shd w:val="clear" w:color="auto" w:fill="auto"/>
          </w:tcPr>
          <w:p w14:paraId="7E181478" w14:textId="77777777" w:rsidR="00E25C1D" w:rsidRPr="007542B3" w:rsidRDefault="00E25C1D" w:rsidP="002D0F9A">
            <w:pPr>
              <w:rPr>
                <w:rFonts w:ascii="Arial" w:hAnsi="Arial" w:cs="Arial"/>
              </w:rPr>
            </w:pPr>
          </w:p>
        </w:tc>
      </w:tr>
      <w:tr w:rsidR="00E25C1D" w:rsidRPr="002408A8" w14:paraId="0AE3DC3C" w14:textId="77777777" w:rsidTr="00AF4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2"/>
            <w:shd w:val="clear" w:color="auto" w:fill="auto"/>
          </w:tcPr>
          <w:p w14:paraId="42D0217B" w14:textId="77777777" w:rsidR="00E25C1D" w:rsidRPr="007542B3" w:rsidRDefault="00E25C1D" w:rsidP="002D0F9A">
            <w:pPr>
              <w:rPr>
                <w:rFonts w:ascii="Arial" w:hAnsi="Arial" w:cs="Arial"/>
              </w:rPr>
            </w:pPr>
          </w:p>
          <w:p w14:paraId="45A135A3" w14:textId="77777777" w:rsidR="00E25C1D" w:rsidRPr="007542B3" w:rsidRDefault="00E25C1D" w:rsidP="002D0F9A">
            <w:pPr>
              <w:rPr>
                <w:rFonts w:ascii="Arial" w:hAnsi="Arial" w:cs="Arial"/>
                <w:b/>
                <w:bCs/>
              </w:rPr>
            </w:pPr>
            <w:r w:rsidRPr="007542B3">
              <w:rPr>
                <w:rFonts w:ascii="Arial" w:hAnsi="Arial" w:cs="Arial"/>
                <w:b/>
                <w:bCs/>
              </w:rPr>
              <w:t>Is it necessary?</w:t>
            </w:r>
          </w:p>
          <w:p w14:paraId="549392C5" w14:textId="77777777" w:rsidR="00E25C1D" w:rsidRPr="007542B3" w:rsidRDefault="00E25C1D" w:rsidP="002D0F9A">
            <w:pPr>
              <w:rPr>
                <w:rFonts w:ascii="Arial" w:hAnsi="Arial" w:cs="Arial"/>
              </w:rPr>
            </w:pPr>
          </w:p>
        </w:tc>
        <w:tc>
          <w:tcPr>
            <w:tcW w:w="6265" w:type="dxa"/>
            <w:shd w:val="clear" w:color="auto" w:fill="auto"/>
          </w:tcPr>
          <w:p w14:paraId="3C726044" w14:textId="77777777" w:rsidR="00E25C1D" w:rsidRPr="007542B3" w:rsidRDefault="00E25C1D" w:rsidP="002D0F9A">
            <w:pPr>
              <w:rPr>
                <w:rFonts w:ascii="Arial" w:hAnsi="Arial" w:cs="Arial"/>
              </w:rPr>
            </w:pPr>
          </w:p>
        </w:tc>
      </w:tr>
    </w:tbl>
    <w:p w14:paraId="6284A0DE" w14:textId="77777777" w:rsidR="00E25C1D" w:rsidRPr="007542B3" w:rsidRDefault="00E25C1D" w:rsidP="00E25C1D">
      <w:pPr>
        <w:rPr>
          <w:rFonts w:ascii="Arial" w:hAnsi="Arial" w:cs="Arial"/>
          <w:color w:val="FF0000"/>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25C1D" w:rsidRPr="002408A8" w14:paraId="72B4AB32" w14:textId="77777777" w:rsidTr="00232C36">
        <w:trPr>
          <w:trHeight w:val="3373"/>
        </w:trPr>
        <w:tc>
          <w:tcPr>
            <w:tcW w:w="10093" w:type="dxa"/>
            <w:shd w:val="clear" w:color="auto" w:fill="auto"/>
          </w:tcPr>
          <w:p w14:paraId="151C51E6" w14:textId="77777777" w:rsidR="00E25C1D" w:rsidRPr="007542B3" w:rsidRDefault="00E25C1D" w:rsidP="002D0F9A">
            <w:pPr>
              <w:rPr>
                <w:rFonts w:ascii="Arial" w:hAnsi="Arial" w:cs="Arial"/>
                <w:color w:val="FF0000"/>
              </w:rPr>
            </w:pPr>
          </w:p>
          <w:p w14:paraId="7A7E9195" w14:textId="77777777" w:rsidR="00E25C1D" w:rsidRPr="007542B3" w:rsidRDefault="00E25C1D" w:rsidP="002D0F9A">
            <w:pPr>
              <w:rPr>
                <w:rFonts w:ascii="Arial" w:hAnsi="Arial" w:cs="Arial"/>
                <w:b/>
                <w:bCs/>
              </w:rPr>
            </w:pPr>
            <w:r w:rsidRPr="007542B3">
              <w:rPr>
                <w:rFonts w:ascii="Arial" w:hAnsi="Arial" w:cs="Arial"/>
                <w:b/>
                <w:bCs/>
              </w:rPr>
              <w:t>Any Other Comments</w:t>
            </w:r>
          </w:p>
          <w:p w14:paraId="64A407B3" w14:textId="77777777" w:rsidR="00E25C1D" w:rsidRPr="007542B3" w:rsidRDefault="00E25C1D" w:rsidP="002D0F9A">
            <w:pPr>
              <w:rPr>
                <w:rFonts w:ascii="Arial" w:hAnsi="Arial" w:cs="Arial"/>
                <w:color w:val="FF0000"/>
              </w:rPr>
            </w:pPr>
          </w:p>
          <w:p w14:paraId="03C84090" w14:textId="77777777" w:rsidR="00E25C1D" w:rsidRPr="007542B3" w:rsidRDefault="00E25C1D" w:rsidP="002D0F9A">
            <w:pPr>
              <w:rPr>
                <w:rFonts w:ascii="Arial" w:hAnsi="Arial" w:cs="Arial"/>
                <w:color w:val="FF0000"/>
              </w:rPr>
            </w:pPr>
          </w:p>
          <w:p w14:paraId="34618252" w14:textId="77777777" w:rsidR="00E25C1D" w:rsidRPr="007542B3" w:rsidRDefault="00E25C1D" w:rsidP="002D0F9A">
            <w:pPr>
              <w:rPr>
                <w:rFonts w:ascii="Arial" w:hAnsi="Arial" w:cs="Arial"/>
                <w:color w:val="FF0000"/>
              </w:rPr>
            </w:pPr>
          </w:p>
          <w:p w14:paraId="1BD14B7F" w14:textId="77777777" w:rsidR="00E25C1D" w:rsidRPr="007542B3" w:rsidRDefault="00E25C1D" w:rsidP="002D0F9A">
            <w:pPr>
              <w:rPr>
                <w:rFonts w:ascii="Arial" w:hAnsi="Arial" w:cs="Arial"/>
                <w:color w:val="FF0000"/>
              </w:rPr>
            </w:pPr>
          </w:p>
          <w:p w14:paraId="474A1A75" w14:textId="77777777" w:rsidR="00E25C1D" w:rsidRPr="007542B3" w:rsidRDefault="00E25C1D" w:rsidP="002D0F9A">
            <w:pPr>
              <w:rPr>
                <w:rFonts w:ascii="Arial" w:hAnsi="Arial" w:cs="Arial"/>
                <w:color w:val="FF0000"/>
              </w:rPr>
            </w:pPr>
          </w:p>
          <w:p w14:paraId="00E5D3BF" w14:textId="77777777" w:rsidR="00E25C1D" w:rsidRPr="007542B3" w:rsidRDefault="00E25C1D" w:rsidP="002D0F9A">
            <w:pPr>
              <w:rPr>
                <w:rFonts w:ascii="Arial" w:hAnsi="Arial" w:cs="Arial"/>
                <w:color w:val="FF0000"/>
              </w:rPr>
            </w:pPr>
          </w:p>
          <w:p w14:paraId="0BF906AE" w14:textId="77777777" w:rsidR="00E25C1D" w:rsidRPr="007542B3" w:rsidRDefault="00E25C1D" w:rsidP="002D0F9A">
            <w:pPr>
              <w:rPr>
                <w:rFonts w:ascii="Arial" w:hAnsi="Arial" w:cs="Arial"/>
                <w:color w:val="FF0000"/>
              </w:rPr>
            </w:pPr>
          </w:p>
          <w:p w14:paraId="6B81EED7" w14:textId="77777777" w:rsidR="00E25C1D" w:rsidRPr="007542B3" w:rsidRDefault="00E25C1D" w:rsidP="002D0F9A">
            <w:pPr>
              <w:rPr>
                <w:rFonts w:ascii="Arial" w:hAnsi="Arial" w:cs="Arial"/>
                <w:color w:val="FF0000"/>
              </w:rPr>
            </w:pPr>
          </w:p>
        </w:tc>
      </w:tr>
    </w:tbl>
    <w:p w14:paraId="181893C7" w14:textId="77777777" w:rsidR="00E25C1D" w:rsidRPr="007542B3" w:rsidRDefault="00E25C1D" w:rsidP="00E25C1D">
      <w:pPr>
        <w:rPr>
          <w:rFonts w:ascii="Arial" w:hAnsi="Arial" w:cs="Arial"/>
          <w:color w:val="FF0000"/>
        </w:rPr>
      </w:pPr>
    </w:p>
    <w:p w14:paraId="01EA0174" w14:textId="77777777" w:rsidR="00E25C1D" w:rsidRPr="007542B3" w:rsidRDefault="00E25C1D" w:rsidP="00E25C1D">
      <w:pPr>
        <w:rPr>
          <w:rFonts w:ascii="Arial" w:hAnsi="Arial" w:cs="Arial"/>
          <w:b/>
          <w:bCs/>
        </w:rPr>
      </w:pPr>
    </w:p>
    <w:tbl>
      <w:tblPr>
        <w:tblW w:w="9949" w:type="dxa"/>
        <w:tblInd w:w="-4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73"/>
        <w:gridCol w:w="6876"/>
      </w:tblGrid>
      <w:tr w:rsidR="00E25C1D" w:rsidRPr="002408A8" w14:paraId="6A8C2CBB" w14:textId="77777777" w:rsidTr="00E25C1D">
        <w:trPr>
          <w:trHeight w:val="567"/>
        </w:trPr>
        <w:tc>
          <w:tcPr>
            <w:tcW w:w="3073" w:type="dxa"/>
            <w:shd w:val="clear" w:color="auto" w:fill="BDD6EE"/>
            <w:vAlign w:val="center"/>
          </w:tcPr>
          <w:p w14:paraId="09466F8C" w14:textId="77777777" w:rsidR="00E25C1D" w:rsidRPr="007542B3" w:rsidRDefault="00E25C1D" w:rsidP="002D0F9A">
            <w:pPr>
              <w:rPr>
                <w:rFonts w:ascii="Arial" w:hAnsi="Arial" w:cs="Arial"/>
                <w:b/>
              </w:rPr>
            </w:pPr>
            <w:r w:rsidRPr="007542B3">
              <w:rPr>
                <w:rFonts w:ascii="Arial" w:hAnsi="Arial" w:cs="Arial"/>
                <w:b/>
              </w:rPr>
              <w:t xml:space="preserve">Signed </w:t>
            </w:r>
          </w:p>
          <w:p w14:paraId="6E320E5F" w14:textId="77777777" w:rsidR="00E25C1D" w:rsidRPr="007542B3" w:rsidRDefault="00E25C1D" w:rsidP="002D0F9A">
            <w:pPr>
              <w:rPr>
                <w:rFonts w:ascii="Arial" w:hAnsi="Arial" w:cs="Arial"/>
                <w:b/>
              </w:rPr>
            </w:pPr>
            <w:r w:rsidRPr="007542B3">
              <w:rPr>
                <w:rFonts w:ascii="Arial" w:hAnsi="Arial" w:cs="Arial"/>
                <w:b/>
              </w:rPr>
              <w:t xml:space="preserve">(Officer):        </w:t>
            </w:r>
          </w:p>
        </w:tc>
        <w:tc>
          <w:tcPr>
            <w:tcW w:w="6876" w:type="dxa"/>
            <w:shd w:val="clear" w:color="auto" w:fill="auto"/>
            <w:vAlign w:val="center"/>
          </w:tcPr>
          <w:p w14:paraId="115E5268" w14:textId="77777777" w:rsidR="00E25C1D" w:rsidRPr="007542B3" w:rsidRDefault="00E25C1D" w:rsidP="002D0F9A">
            <w:pPr>
              <w:rPr>
                <w:rFonts w:ascii="Arial" w:hAnsi="Arial" w:cs="Arial"/>
                <w:i/>
              </w:rPr>
            </w:pPr>
          </w:p>
        </w:tc>
      </w:tr>
      <w:tr w:rsidR="00E25C1D" w:rsidRPr="002408A8" w14:paraId="32B5B0D5" w14:textId="77777777" w:rsidTr="00E25C1D">
        <w:trPr>
          <w:trHeight w:val="567"/>
        </w:trPr>
        <w:tc>
          <w:tcPr>
            <w:tcW w:w="3073" w:type="dxa"/>
            <w:shd w:val="clear" w:color="auto" w:fill="BDD6EE"/>
            <w:vAlign w:val="center"/>
          </w:tcPr>
          <w:p w14:paraId="1E9CF0AE" w14:textId="77777777" w:rsidR="00E25C1D" w:rsidRPr="007542B3" w:rsidRDefault="00E25C1D" w:rsidP="002D0F9A">
            <w:pPr>
              <w:rPr>
                <w:rFonts w:ascii="Arial" w:hAnsi="Arial" w:cs="Arial"/>
                <w:b/>
              </w:rPr>
            </w:pPr>
            <w:r w:rsidRPr="007542B3">
              <w:rPr>
                <w:rFonts w:ascii="Arial" w:hAnsi="Arial" w:cs="Arial"/>
                <w:b/>
              </w:rPr>
              <w:t>Dated</w:t>
            </w:r>
          </w:p>
        </w:tc>
        <w:tc>
          <w:tcPr>
            <w:tcW w:w="6876" w:type="dxa"/>
            <w:shd w:val="clear" w:color="auto" w:fill="auto"/>
            <w:vAlign w:val="center"/>
          </w:tcPr>
          <w:p w14:paraId="05CA0886" w14:textId="77777777" w:rsidR="00E25C1D" w:rsidRPr="007542B3" w:rsidRDefault="00E25C1D" w:rsidP="002D0F9A">
            <w:pPr>
              <w:rPr>
                <w:rFonts w:ascii="Arial" w:hAnsi="Arial" w:cs="Arial"/>
                <w:i/>
              </w:rPr>
            </w:pPr>
          </w:p>
        </w:tc>
      </w:tr>
      <w:tr w:rsidR="00E25C1D" w:rsidRPr="002408A8" w14:paraId="3536896B" w14:textId="77777777" w:rsidTr="00E25C1D">
        <w:trPr>
          <w:trHeight w:val="567"/>
        </w:trPr>
        <w:tc>
          <w:tcPr>
            <w:tcW w:w="3073" w:type="dxa"/>
            <w:shd w:val="clear" w:color="auto" w:fill="BDD6EE"/>
            <w:vAlign w:val="center"/>
          </w:tcPr>
          <w:p w14:paraId="7F4D9F09" w14:textId="77777777" w:rsidR="00E25C1D" w:rsidRPr="007542B3" w:rsidRDefault="00E25C1D" w:rsidP="002D0F9A">
            <w:pPr>
              <w:rPr>
                <w:rFonts w:ascii="Arial" w:hAnsi="Arial" w:cs="Arial"/>
                <w:b/>
              </w:rPr>
            </w:pPr>
            <w:r w:rsidRPr="007542B3">
              <w:rPr>
                <w:rFonts w:ascii="Arial" w:hAnsi="Arial" w:cs="Arial"/>
                <w:b/>
              </w:rPr>
              <w:t xml:space="preserve">Signed </w:t>
            </w:r>
          </w:p>
          <w:p w14:paraId="5FDB1D4B" w14:textId="77777777" w:rsidR="00E25C1D" w:rsidRPr="007542B3" w:rsidRDefault="00E25C1D" w:rsidP="002D0F9A">
            <w:pPr>
              <w:rPr>
                <w:rFonts w:ascii="Arial" w:hAnsi="Arial" w:cs="Arial"/>
                <w:b/>
              </w:rPr>
            </w:pPr>
            <w:r w:rsidRPr="007542B3">
              <w:rPr>
                <w:rFonts w:ascii="Arial" w:hAnsi="Arial" w:cs="Arial"/>
                <w:b/>
              </w:rPr>
              <w:t xml:space="preserve">(Line Manager)  </w:t>
            </w:r>
          </w:p>
        </w:tc>
        <w:tc>
          <w:tcPr>
            <w:tcW w:w="6876" w:type="dxa"/>
            <w:shd w:val="clear" w:color="auto" w:fill="auto"/>
            <w:vAlign w:val="center"/>
          </w:tcPr>
          <w:p w14:paraId="73FFBE5A" w14:textId="77777777" w:rsidR="00E25C1D" w:rsidRPr="007542B3" w:rsidRDefault="00E25C1D" w:rsidP="002D0F9A">
            <w:pPr>
              <w:rPr>
                <w:rFonts w:ascii="Arial" w:hAnsi="Arial" w:cs="Arial"/>
                <w:i/>
              </w:rPr>
            </w:pPr>
          </w:p>
        </w:tc>
      </w:tr>
      <w:tr w:rsidR="00E25C1D" w:rsidRPr="002408A8" w14:paraId="1D8F8F84" w14:textId="77777777" w:rsidTr="00E25C1D">
        <w:trPr>
          <w:trHeight w:val="567"/>
        </w:trPr>
        <w:tc>
          <w:tcPr>
            <w:tcW w:w="3073" w:type="dxa"/>
            <w:shd w:val="clear" w:color="auto" w:fill="BDD6EE"/>
            <w:vAlign w:val="center"/>
          </w:tcPr>
          <w:p w14:paraId="08429821" w14:textId="77777777" w:rsidR="00E25C1D" w:rsidRPr="007542B3" w:rsidRDefault="00E25C1D" w:rsidP="002D0F9A">
            <w:pPr>
              <w:rPr>
                <w:rFonts w:ascii="Arial" w:hAnsi="Arial" w:cs="Arial"/>
                <w:b/>
              </w:rPr>
            </w:pPr>
            <w:r w:rsidRPr="007542B3">
              <w:rPr>
                <w:rFonts w:ascii="Arial" w:hAnsi="Arial" w:cs="Arial"/>
                <w:b/>
              </w:rPr>
              <w:t>Dated</w:t>
            </w:r>
          </w:p>
        </w:tc>
        <w:tc>
          <w:tcPr>
            <w:tcW w:w="6876" w:type="dxa"/>
            <w:shd w:val="clear" w:color="auto" w:fill="auto"/>
            <w:vAlign w:val="center"/>
          </w:tcPr>
          <w:p w14:paraId="7DD2DDAF" w14:textId="77777777" w:rsidR="00E25C1D" w:rsidRPr="007542B3" w:rsidRDefault="00E25C1D" w:rsidP="002D0F9A">
            <w:pPr>
              <w:rPr>
                <w:rFonts w:ascii="Arial" w:hAnsi="Arial" w:cs="Arial"/>
                <w:i/>
              </w:rPr>
            </w:pPr>
          </w:p>
        </w:tc>
      </w:tr>
    </w:tbl>
    <w:p w14:paraId="2781880E" w14:textId="77777777" w:rsidR="00E25C1D" w:rsidRPr="007542B3" w:rsidRDefault="00E25C1D" w:rsidP="00E25C1D">
      <w:pPr>
        <w:rPr>
          <w:rFonts w:ascii="Arial" w:hAnsi="Arial" w:cs="Arial"/>
          <w:color w:val="FF0000"/>
        </w:rPr>
      </w:pPr>
    </w:p>
    <w:p w14:paraId="658918C1" w14:textId="77777777" w:rsidR="00E25C1D" w:rsidRPr="002408A8" w:rsidRDefault="00E25C1D" w:rsidP="00521C44">
      <w:pPr>
        <w:rPr>
          <w:rFonts w:ascii="Arial" w:hAnsi="Arial" w:cs="Arial"/>
        </w:rPr>
      </w:pPr>
    </w:p>
    <w:p w14:paraId="0531F474" w14:textId="114FE719" w:rsidR="000B1862" w:rsidRPr="002408A8" w:rsidRDefault="000B1862">
      <w:pPr>
        <w:rPr>
          <w:rFonts w:ascii="Arial" w:hAnsi="Arial" w:cs="Arial"/>
          <w:b/>
          <w:bCs/>
        </w:rPr>
      </w:pPr>
      <w:r w:rsidRPr="002408A8">
        <w:rPr>
          <w:rFonts w:ascii="Arial" w:hAnsi="Arial" w:cs="Arial"/>
          <w:b/>
          <w:bCs/>
        </w:rPr>
        <w:br w:type="page"/>
      </w: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C318A8" w:rsidRPr="002408A8" w14:paraId="42B29029" w14:textId="77777777" w:rsidTr="002D0F9A">
        <w:tc>
          <w:tcPr>
            <w:tcW w:w="9314" w:type="dxa"/>
            <w:tcBorders>
              <w:top w:val="single" w:sz="4" w:space="0" w:color="auto"/>
            </w:tcBorders>
          </w:tcPr>
          <w:p w14:paraId="2F2BE9BC" w14:textId="77777777" w:rsidR="00C318A8" w:rsidRPr="007542B3" w:rsidRDefault="00C318A8" w:rsidP="002D0F9A">
            <w:pPr>
              <w:rPr>
                <w:rFonts w:ascii="Arial" w:hAnsi="Arial" w:cs="Arial"/>
              </w:rPr>
            </w:pPr>
          </w:p>
        </w:tc>
      </w:tr>
      <w:tr w:rsidR="00C318A8" w:rsidRPr="002408A8" w14:paraId="678DD9B7" w14:textId="77777777" w:rsidTr="002D0F9A">
        <w:tc>
          <w:tcPr>
            <w:tcW w:w="9314" w:type="dxa"/>
          </w:tcPr>
          <w:p w14:paraId="76FD49D7" w14:textId="77777777" w:rsidR="00075EB0" w:rsidRDefault="00075EB0" w:rsidP="002D0F9A">
            <w:pPr>
              <w:jc w:val="center"/>
              <w:rPr>
                <w:rFonts w:ascii="Arial" w:hAnsi="Arial" w:cs="Arial"/>
                <w:b/>
              </w:rPr>
            </w:pPr>
          </w:p>
          <w:p w14:paraId="39E1DCDA" w14:textId="6972DFB6" w:rsidR="001D73C9" w:rsidRPr="007542B3" w:rsidRDefault="00C318A8" w:rsidP="002D0F9A">
            <w:pPr>
              <w:jc w:val="center"/>
              <w:rPr>
                <w:rFonts w:ascii="Arial" w:hAnsi="Arial" w:cs="Arial"/>
                <w:b/>
              </w:rPr>
            </w:pPr>
            <w:r w:rsidRPr="007542B3">
              <w:rPr>
                <w:rFonts w:ascii="Arial" w:hAnsi="Arial" w:cs="Arial"/>
                <w:b/>
              </w:rPr>
              <w:t>Summary of key material/changes</w:t>
            </w:r>
          </w:p>
          <w:p w14:paraId="57515DF1" w14:textId="6243B0E6" w:rsidR="00C318A8" w:rsidRPr="007542B3" w:rsidRDefault="00C318A8" w:rsidP="002D0F9A">
            <w:pPr>
              <w:jc w:val="center"/>
              <w:rPr>
                <w:rFonts w:ascii="Arial" w:hAnsi="Arial" w:cs="Arial"/>
                <w:b/>
              </w:rPr>
            </w:pPr>
          </w:p>
        </w:tc>
      </w:tr>
      <w:tr w:rsidR="00C318A8" w:rsidRPr="002408A8" w14:paraId="62BE3E6F" w14:textId="77777777" w:rsidTr="002D0F9A">
        <w:tc>
          <w:tcPr>
            <w:tcW w:w="9314" w:type="dxa"/>
            <w:tcBorders>
              <w:bottom w:val="single" w:sz="4" w:space="0" w:color="auto"/>
            </w:tcBorders>
          </w:tcPr>
          <w:p w14:paraId="47E6224A" w14:textId="77777777" w:rsidR="00C318A8" w:rsidRPr="007542B3" w:rsidRDefault="00C318A8" w:rsidP="002D0F9A">
            <w:pPr>
              <w:rPr>
                <w:rFonts w:ascii="Arial" w:hAnsi="Arial" w:cs="Arial"/>
              </w:rPr>
            </w:pPr>
          </w:p>
        </w:tc>
      </w:tr>
    </w:tbl>
    <w:p w14:paraId="376E0217" w14:textId="77777777" w:rsidR="00C318A8" w:rsidRPr="002408A8" w:rsidRDefault="00C318A8" w:rsidP="00C318A8">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C318A8" w:rsidRPr="002408A8" w14:paraId="1A55C638" w14:textId="77777777" w:rsidTr="002D0F9A">
        <w:tc>
          <w:tcPr>
            <w:tcW w:w="9295" w:type="dxa"/>
          </w:tcPr>
          <w:p w14:paraId="13DCD7F6" w14:textId="77777777" w:rsidR="00C318A8" w:rsidRPr="002408A8" w:rsidRDefault="00C318A8" w:rsidP="002D0F9A">
            <w:pPr>
              <w:spacing w:after="240" w:line="276" w:lineRule="auto"/>
              <w:jc w:val="both"/>
              <w:rPr>
                <w:rFonts w:ascii="Arial" w:hAnsi="Arial" w:cs="Arial"/>
                <w:color w:val="002060"/>
              </w:rPr>
            </w:pPr>
          </w:p>
        </w:tc>
      </w:tr>
    </w:tbl>
    <w:p w14:paraId="6D61089C" w14:textId="3714F4AF" w:rsidR="00EF0CA2" w:rsidRPr="002408A8" w:rsidRDefault="003D5725" w:rsidP="001B02CF">
      <w:pPr>
        <w:pStyle w:val="ListParagraph"/>
        <w:numPr>
          <w:ilvl w:val="0"/>
          <w:numId w:val="4"/>
        </w:numPr>
        <w:rPr>
          <w:rFonts w:ascii="Arial" w:hAnsi="Arial" w:cs="Arial"/>
        </w:rPr>
      </w:pPr>
      <w:r w:rsidRPr="002408A8">
        <w:rPr>
          <w:rFonts w:ascii="Arial" w:hAnsi="Arial" w:cs="Arial"/>
        </w:rPr>
        <w:t>There have been no changes in legislation since the policy in 2018</w:t>
      </w:r>
      <w:r w:rsidR="003E0B7C" w:rsidRPr="002408A8">
        <w:rPr>
          <w:rFonts w:ascii="Arial" w:hAnsi="Arial" w:cs="Arial"/>
        </w:rPr>
        <w:t>.</w:t>
      </w:r>
    </w:p>
    <w:p w14:paraId="39784D8D" w14:textId="627E519D" w:rsidR="003D5725" w:rsidRPr="002408A8" w:rsidRDefault="003D5725" w:rsidP="001B02CF">
      <w:pPr>
        <w:pStyle w:val="ListParagraph"/>
        <w:numPr>
          <w:ilvl w:val="0"/>
          <w:numId w:val="4"/>
        </w:numPr>
        <w:rPr>
          <w:rFonts w:ascii="Arial" w:hAnsi="Arial" w:cs="Arial"/>
        </w:rPr>
      </w:pPr>
      <w:r w:rsidRPr="002408A8">
        <w:rPr>
          <w:rFonts w:ascii="Arial" w:hAnsi="Arial" w:cs="Arial"/>
        </w:rPr>
        <w:t>A section clarifying the appeals process added</w:t>
      </w:r>
      <w:r w:rsidR="003E0B7C" w:rsidRPr="002408A8">
        <w:rPr>
          <w:rFonts w:ascii="Arial" w:hAnsi="Arial" w:cs="Arial"/>
        </w:rPr>
        <w:t>.</w:t>
      </w:r>
    </w:p>
    <w:p w14:paraId="747F0AE5" w14:textId="1C8C3D6D" w:rsidR="003D5725" w:rsidRPr="002408A8" w:rsidRDefault="006568A5" w:rsidP="001B02CF">
      <w:pPr>
        <w:pStyle w:val="ListParagraph"/>
        <w:numPr>
          <w:ilvl w:val="0"/>
          <w:numId w:val="4"/>
        </w:numPr>
        <w:rPr>
          <w:rFonts w:ascii="Arial" w:hAnsi="Arial" w:cs="Arial"/>
        </w:rPr>
      </w:pPr>
      <w:r w:rsidRPr="002408A8">
        <w:rPr>
          <w:rFonts w:ascii="Arial" w:hAnsi="Arial" w:cs="Arial"/>
        </w:rPr>
        <w:t>How we deal with discretionary tenancies clarified</w:t>
      </w:r>
      <w:r w:rsidR="003E0B7C" w:rsidRPr="002408A8">
        <w:rPr>
          <w:rFonts w:ascii="Arial" w:hAnsi="Arial" w:cs="Arial"/>
        </w:rPr>
        <w:t>.</w:t>
      </w:r>
    </w:p>
    <w:p w14:paraId="22F85978" w14:textId="0F4D6A6C" w:rsidR="006568A5" w:rsidRPr="002408A8" w:rsidRDefault="006B324E" w:rsidP="001B02CF">
      <w:pPr>
        <w:pStyle w:val="ListParagraph"/>
        <w:numPr>
          <w:ilvl w:val="0"/>
          <w:numId w:val="4"/>
        </w:numPr>
        <w:rPr>
          <w:rFonts w:ascii="Arial" w:hAnsi="Arial" w:cs="Arial"/>
        </w:rPr>
      </w:pPr>
      <w:r w:rsidRPr="002408A8">
        <w:rPr>
          <w:rFonts w:ascii="Arial" w:hAnsi="Arial" w:cs="Arial"/>
        </w:rPr>
        <w:t>The law around inherited tenancies stated in the policy</w:t>
      </w:r>
      <w:r w:rsidR="003E0B7C" w:rsidRPr="002408A8">
        <w:rPr>
          <w:rFonts w:ascii="Arial" w:hAnsi="Arial" w:cs="Arial"/>
        </w:rPr>
        <w:t>.</w:t>
      </w:r>
      <w:r w:rsidRPr="002408A8">
        <w:rPr>
          <w:rFonts w:ascii="Arial" w:hAnsi="Arial" w:cs="Arial"/>
        </w:rPr>
        <w:t xml:space="preserve"> </w:t>
      </w:r>
    </w:p>
    <w:p w14:paraId="4DE03774" w14:textId="6100FC2F" w:rsidR="00012DD9" w:rsidRPr="002408A8" w:rsidRDefault="00012DD9" w:rsidP="001B02CF">
      <w:pPr>
        <w:pStyle w:val="ListParagraph"/>
        <w:numPr>
          <w:ilvl w:val="0"/>
          <w:numId w:val="4"/>
        </w:numPr>
        <w:rPr>
          <w:rFonts w:ascii="Arial" w:hAnsi="Arial" w:cs="Arial"/>
        </w:rPr>
      </w:pPr>
      <w:r w:rsidRPr="002408A8">
        <w:rPr>
          <w:rFonts w:ascii="Arial" w:hAnsi="Arial" w:cs="Arial"/>
        </w:rPr>
        <w:t>Approach to partners who are not married or civil partnered clarified.</w:t>
      </w:r>
    </w:p>
    <w:p w14:paraId="6C93D895" w14:textId="7F713ED9" w:rsidR="003E0B7C" w:rsidRPr="002408A8" w:rsidRDefault="003E0B7C" w:rsidP="001B02CF">
      <w:pPr>
        <w:pStyle w:val="ListParagraph"/>
        <w:numPr>
          <w:ilvl w:val="0"/>
          <w:numId w:val="4"/>
        </w:numPr>
        <w:rPr>
          <w:rFonts w:ascii="Arial" w:hAnsi="Arial" w:cs="Arial"/>
        </w:rPr>
      </w:pPr>
      <w:r w:rsidRPr="002408A8">
        <w:rPr>
          <w:rFonts w:ascii="Arial" w:hAnsi="Arial" w:cs="Arial"/>
        </w:rPr>
        <w:t>A section including assignment included.</w:t>
      </w:r>
    </w:p>
    <w:p w14:paraId="21CCDB0D" w14:textId="77777777" w:rsidR="00EF0CA2" w:rsidRPr="002408A8" w:rsidRDefault="00EF0CA2" w:rsidP="00521C44">
      <w:pPr>
        <w:rPr>
          <w:rFonts w:ascii="Arial" w:hAnsi="Arial" w:cs="Arial"/>
        </w:rPr>
      </w:pPr>
    </w:p>
    <w:p w14:paraId="71EC0A58" w14:textId="77777777" w:rsidR="00A82B28" w:rsidRPr="002408A8" w:rsidRDefault="00A82B28" w:rsidP="00521C44">
      <w:pPr>
        <w:rPr>
          <w:rFonts w:ascii="Arial" w:hAnsi="Arial" w:cs="Arial"/>
          <w:b/>
          <w:bCs/>
        </w:rPr>
      </w:pPr>
    </w:p>
    <w:p w14:paraId="4705A658" w14:textId="77777777" w:rsidR="00A82B28" w:rsidRPr="002408A8" w:rsidRDefault="00A82B28" w:rsidP="00521C44">
      <w:pPr>
        <w:rPr>
          <w:rFonts w:ascii="Arial" w:hAnsi="Arial" w:cs="Arial"/>
          <w:b/>
          <w:bCs/>
        </w:rPr>
      </w:pPr>
    </w:p>
    <w:p w14:paraId="2172D38E" w14:textId="77777777" w:rsidR="00A82B28" w:rsidRPr="002408A8" w:rsidRDefault="00A82B28" w:rsidP="00521C44">
      <w:pPr>
        <w:rPr>
          <w:rFonts w:ascii="Arial" w:hAnsi="Arial" w:cs="Arial"/>
          <w:b/>
          <w:bCs/>
        </w:rPr>
      </w:pPr>
    </w:p>
    <w:p w14:paraId="708B83ED" w14:textId="77777777" w:rsidR="00A82B28" w:rsidRPr="002408A8" w:rsidRDefault="00A82B28" w:rsidP="00521C44">
      <w:pPr>
        <w:rPr>
          <w:rFonts w:ascii="Arial" w:hAnsi="Arial" w:cs="Arial"/>
          <w:b/>
          <w:bCs/>
        </w:rPr>
      </w:pPr>
    </w:p>
    <w:p w14:paraId="3E4BFB97" w14:textId="77777777" w:rsidR="00C96C1A" w:rsidRPr="002408A8" w:rsidRDefault="00C96C1A" w:rsidP="00521C44">
      <w:pPr>
        <w:rPr>
          <w:rFonts w:ascii="Arial" w:hAnsi="Arial" w:cs="Arial"/>
          <w:b/>
          <w:bCs/>
        </w:rPr>
      </w:pPr>
    </w:p>
    <w:p w14:paraId="3B1A2DAC" w14:textId="77777777" w:rsidR="00C96C1A" w:rsidRPr="002408A8" w:rsidRDefault="00C96C1A" w:rsidP="00521C44">
      <w:pPr>
        <w:rPr>
          <w:rFonts w:ascii="Arial" w:hAnsi="Arial" w:cs="Arial"/>
          <w:b/>
          <w:bCs/>
        </w:rPr>
      </w:pPr>
    </w:p>
    <w:p w14:paraId="3DB660F6" w14:textId="77777777" w:rsidR="00C96C1A" w:rsidRPr="002408A8" w:rsidRDefault="00C96C1A" w:rsidP="00521C44">
      <w:pPr>
        <w:rPr>
          <w:rFonts w:ascii="Arial" w:hAnsi="Arial" w:cs="Arial"/>
          <w:b/>
          <w:bCs/>
        </w:rPr>
      </w:pPr>
    </w:p>
    <w:p w14:paraId="2CD14108" w14:textId="77777777" w:rsidR="00C96C1A" w:rsidRPr="002408A8" w:rsidRDefault="00C96C1A" w:rsidP="00521C44">
      <w:pPr>
        <w:rPr>
          <w:rFonts w:ascii="Arial" w:hAnsi="Arial" w:cs="Arial"/>
          <w:b/>
          <w:bCs/>
        </w:rPr>
      </w:pPr>
    </w:p>
    <w:p w14:paraId="0CCA724D" w14:textId="77777777" w:rsidR="00C96C1A" w:rsidRPr="002408A8" w:rsidRDefault="00C96C1A" w:rsidP="00521C44">
      <w:pPr>
        <w:rPr>
          <w:rFonts w:ascii="Arial" w:hAnsi="Arial" w:cs="Arial"/>
          <w:b/>
          <w:bCs/>
        </w:rPr>
      </w:pPr>
    </w:p>
    <w:p w14:paraId="6A7A078F" w14:textId="77777777" w:rsidR="00C96C1A" w:rsidRPr="002408A8" w:rsidRDefault="00C96C1A" w:rsidP="00521C44">
      <w:pPr>
        <w:rPr>
          <w:rFonts w:ascii="Arial" w:hAnsi="Arial" w:cs="Arial"/>
          <w:b/>
          <w:bCs/>
        </w:rPr>
      </w:pPr>
    </w:p>
    <w:p w14:paraId="2F7F4E3F" w14:textId="77777777" w:rsidR="0043268A" w:rsidRDefault="0043268A" w:rsidP="004C6FD8">
      <w:pPr>
        <w:rPr>
          <w:rFonts w:ascii="Arial" w:hAnsi="Arial" w:cs="Arial"/>
        </w:rPr>
      </w:pPr>
    </w:p>
    <w:p w14:paraId="206E0B80" w14:textId="77777777" w:rsidR="001F5719" w:rsidRPr="001F5719" w:rsidRDefault="001F5719" w:rsidP="001F5719">
      <w:pPr>
        <w:rPr>
          <w:rFonts w:ascii="Arial" w:hAnsi="Arial" w:cs="Arial"/>
        </w:rPr>
      </w:pPr>
    </w:p>
    <w:p w14:paraId="1F3ED41E" w14:textId="77777777" w:rsidR="001F5719" w:rsidRPr="001F5719" w:rsidRDefault="001F5719" w:rsidP="001F5719">
      <w:pPr>
        <w:rPr>
          <w:rFonts w:ascii="Arial" w:hAnsi="Arial" w:cs="Arial"/>
        </w:rPr>
      </w:pPr>
    </w:p>
    <w:p w14:paraId="1764D29B" w14:textId="77777777" w:rsidR="001F5719" w:rsidRPr="001F5719" w:rsidRDefault="001F5719" w:rsidP="001F5719">
      <w:pPr>
        <w:rPr>
          <w:rFonts w:ascii="Arial" w:hAnsi="Arial" w:cs="Arial"/>
        </w:rPr>
      </w:pPr>
    </w:p>
    <w:p w14:paraId="4A36AD8F" w14:textId="77777777" w:rsidR="001F5719" w:rsidRPr="001F5719" w:rsidRDefault="001F5719" w:rsidP="001F5719">
      <w:pPr>
        <w:rPr>
          <w:rFonts w:ascii="Arial" w:hAnsi="Arial" w:cs="Arial"/>
        </w:rPr>
      </w:pPr>
    </w:p>
    <w:p w14:paraId="429359C5" w14:textId="77777777" w:rsidR="001F5719" w:rsidRPr="001F5719" w:rsidRDefault="001F5719" w:rsidP="001F5719">
      <w:pPr>
        <w:rPr>
          <w:rFonts w:ascii="Arial" w:hAnsi="Arial" w:cs="Arial"/>
        </w:rPr>
      </w:pPr>
    </w:p>
    <w:p w14:paraId="3A681B4A" w14:textId="77777777" w:rsidR="001F5719" w:rsidRPr="001F5719" w:rsidRDefault="001F5719" w:rsidP="001F5719">
      <w:pPr>
        <w:rPr>
          <w:rFonts w:ascii="Arial" w:hAnsi="Arial" w:cs="Arial"/>
        </w:rPr>
      </w:pPr>
    </w:p>
    <w:p w14:paraId="5AA02AFA" w14:textId="77777777" w:rsidR="001F5719" w:rsidRPr="001F5719" w:rsidRDefault="001F5719" w:rsidP="001F5719">
      <w:pPr>
        <w:rPr>
          <w:rFonts w:ascii="Arial" w:hAnsi="Arial" w:cs="Arial"/>
        </w:rPr>
      </w:pPr>
    </w:p>
    <w:p w14:paraId="31F90498" w14:textId="77777777" w:rsidR="001F5719" w:rsidRPr="001F5719" w:rsidRDefault="001F5719" w:rsidP="001F5719">
      <w:pPr>
        <w:rPr>
          <w:rFonts w:ascii="Arial" w:hAnsi="Arial" w:cs="Arial"/>
        </w:rPr>
      </w:pPr>
    </w:p>
    <w:p w14:paraId="4D458153" w14:textId="77777777" w:rsidR="001F5719" w:rsidRDefault="001F5719" w:rsidP="001F5719">
      <w:pPr>
        <w:rPr>
          <w:rFonts w:ascii="Arial" w:hAnsi="Arial" w:cs="Arial"/>
        </w:rPr>
      </w:pPr>
    </w:p>
    <w:p w14:paraId="702A02E1" w14:textId="77777777" w:rsidR="001F5719" w:rsidRDefault="001F5719" w:rsidP="001F5719">
      <w:pPr>
        <w:rPr>
          <w:rFonts w:ascii="Arial" w:hAnsi="Arial" w:cs="Arial"/>
        </w:rPr>
      </w:pPr>
    </w:p>
    <w:p w14:paraId="5A44B5F2" w14:textId="77777777" w:rsidR="001F5719" w:rsidRPr="001F5719" w:rsidRDefault="001F5719" w:rsidP="001F5719">
      <w:pPr>
        <w:rPr>
          <w:rFonts w:ascii="Arial" w:hAnsi="Arial" w:cs="Arial"/>
        </w:rPr>
      </w:pPr>
    </w:p>
    <w:sectPr w:rsidR="001F5719" w:rsidRPr="001F5719" w:rsidSect="009D217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0BA24" w14:textId="77777777" w:rsidR="00E553B1" w:rsidRDefault="00E553B1" w:rsidP="008B4AC5">
      <w:pPr>
        <w:spacing w:after="0" w:line="240" w:lineRule="auto"/>
      </w:pPr>
      <w:r>
        <w:separator/>
      </w:r>
    </w:p>
  </w:endnote>
  <w:endnote w:type="continuationSeparator" w:id="0">
    <w:p w14:paraId="7A6C5CDD" w14:textId="77777777" w:rsidR="00E553B1" w:rsidRDefault="00E553B1"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7A5B" w14:textId="77777777" w:rsidR="002C5045" w:rsidRDefault="002C5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61872823"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C95D1A">
      <w:rPr>
        <w:rFonts w:ascii="Arial" w:eastAsia="Arial" w:hAnsi="Arial" w:cs="Arial"/>
        <w:sz w:val="20"/>
        <w:szCs w:val="20"/>
      </w:rPr>
      <w:t>1</w:t>
    </w:r>
    <w:r w:rsidR="00473AFF" w:rsidRPr="00B03DFC">
      <w:rPr>
        <w:rFonts w:ascii="Arial" w:hAnsi="Arial" w:cs="Arial"/>
        <w:sz w:val="20"/>
        <w:szCs w:val="20"/>
      </w:rPr>
      <w:tab/>
    </w:r>
    <w:r w:rsidR="007D23BD">
      <w:rPr>
        <w:rFonts w:ascii="Arial" w:eastAsia="Arial" w:hAnsi="Arial" w:cs="Arial"/>
        <w:sz w:val="20"/>
        <w:szCs w:val="20"/>
      </w:rPr>
      <w:t>Succession Policy</w:t>
    </w:r>
    <w:r w:rsidRPr="00B03DFC">
      <w:rPr>
        <w:rFonts w:ascii="Arial" w:eastAsia="Arial" w:hAnsi="Arial" w:cs="Arial"/>
        <w:sz w:val="20"/>
        <w:szCs w:val="20"/>
      </w:rPr>
      <w:t xml:space="preserve">                               </w:t>
    </w:r>
    <w:r w:rsidR="00473AFF" w:rsidRPr="00B03DFC">
      <w:rPr>
        <w:rFonts w:ascii="Arial" w:hAnsi="Arial" w:cs="Arial"/>
        <w:sz w:val="20"/>
        <w:szCs w:val="20"/>
      </w:rPr>
      <w:ptab w:relativeTo="margin" w:alignment="right" w:leader="none"/>
    </w:r>
    <w:r w:rsidR="007D23BD">
      <w:rPr>
        <w:rFonts w:ascii="Arial" w:eastAsia="Arial" w:hAnsi="Arial" w:cs="Arial"/>
        <w:sz w:val="20"/>
        <w:szCs w:val="20"/>
      </w:rPr>
      <w:t>24 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F2C6" w14:textId="77777777" w:rsidR="002C5045" w:rsidRDefault="002C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E28D3" w14:textId="77777777" w:rsidR="00E553B1" w:rsidRDefault="00E553B1" w:rsidP="008B4AC5">
      <w:pPr>
        <w:spacing w:after="0" w:line="240" w:lineRule="auto"/>
      </w:pPr>
      <w:r>
        <w:separator/>
      </w:r>
    </w:p>
  </w:footnote>
  <w:footnote w:type="continuationSeparator" w:id="0">
    <w:p w14:paraId="7088B9DB" w14:textId="77777777" w:rsidR="00E553B1" w:rsidRDefault="00E553B1"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033C" w14:textId="77777777" w:rsidR="002C5045" w:rsidRDefault="002C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3671" w14:textId="77777777" w:rsidR="002C5045" w:rsidRDefault="002C5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7307" w14:textId="77777777" w:rsidR="002C5045" w:rsidRDefault="002C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F6FA2"/>
    <w:multiLevelType w:val="hybridMultilevel"/>
    <w:tmpl w:val="C22CB520"/>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 w15:restartNumberingAfterBreak="0">
    <w:nsid w:val="226A03C5"/>
    <w:multiLevelType w:val="hybridMultilevel"/>
    <w:tmpl w:val="0CC651B0"/>
    <w:lvl w:ilvl="0" w:tplc="FFFFFFFF">
      <w:start w:val="8"/>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158C7"/>
    <w:multiLevelType w:val="hybridMultilevel"/>
    <w:tmpl w:val="20D29358"/>
    <w:lvl w:ilvl="0" w:tplc="20908542">
      <w:start w:val="1"/>
      <w:numFmt w:val="decimal"/>
      <w:lvlText w:val="%1."/>
      <w:lvlJc w:val="left"/>
      <w:pPr>
        <w:ind w:left="1020" w:hanging="360"/>
      </w:pPr>
    </w:lvl>
    <w:lvl w:ilvl="1" w:tplc="C4FC7FC4">
      <w:start w:val="1"/>
      <w:numFmt w:val="decimal"/>
      <w:lvlText w:val="%2."/>
      <w:lvlJc w:val="left"/>
      <w:pPr>
        <w:ind w:left="1020" w:hanging="360"/>
      </w:pPr>
    </w:lvl>
    <w:lvl w:ilvl="2" w:tplc="E9200C96">
      <w:start w:val="1"/>
      <w:numFmt w:val="decimal"/>
      <w:lvlText w:val="%3."/>
      <w:lvlJc w:val="left"/>
      <w:pPr>
        <w:ind w:left="1020" w:hanging="360"/>
      </w:pPr>
    </w:lvl>
    <w:lvl w:ilvl="3" w:tplc="559A7374">
      <w:start w:val="1"/>
      <w:numFmt w:val="decimal"/>
      <w:lvlText w:val="%4."/>
      <w:lvlJc w:val="left"/>
      <w:pPr>
        <w:ind w:left="1020" w:hanging="360"/>
      </w:pPr>
    </w:lvl>
    <w:lvl w:ilvl="4" w:tplc="8A08C498">
      <w:start w:val="1"/>
      <w:numFmt w:val="decimal"/>
      <w:lvlText w:val="%5."/>
      <w:lvlJc w:val="left"/>
      <w:pPr>
        <w:ind w:left="1020" w:hanging="360"/>
      </w:pPr>
    </w:lvl>
    <w:lvl w:ilvl="5" w:tplc="6E0090B2">
      <w:start w:val="1"/>
      <w:numFmt w:val="decimal"/>
      <w:lvlText w:val="%6."/>
      <w:lvlJc w:val="left"/>
      <w:pPr>
        <w:ind w:left="1020" w:hanging="360"/>
      </w:pPr>
    </w:lvl>
    <w:lvl w:ilvl="6" w:tplc="82E04FBA">
      <w:start w:val="1"/>
      <w:numFmt w:val="decimal"/>
      <w:lvlText w:val="%7."/>
      <w:lvlJc w:val="left"/>
      <w:pPr>
        <w:ind w:left="1020" w:hanging="360"/>
      </w:pPr>
    </w:lvl>
    <w:lvl w:ilvl="7" w:tplc="01F20760">
      <w:start w:val="1"/>
      <w:numFmt w:val="decimal"/>
      <w:lvlText w:val="%8."/>
      <w:lvlJc w:val="left"/>
      <w:pPr>
        <w:ind w:left="1020" w:hanging="360"/>
      </w:pPr>
    </w:lvl>
    <w:lvl w:ilvl="8" w:tplc="37680B24">
      <w:start w:val="1"/>
      <w:numFmt w:val="decimal"/>
      <w:lvlText w:val="%9."/>
      <w:lvlJc w:val="left"/>
      <w:pPr>
        <w:ind w:left="1020" w:hanging="360"/>
      </w:pPr>
    </w:lvl>
  </w:abstractNum>
  <w:abstractNum w:abstractNumId="4" w15:restartNumberingAfterBreak="0">
    <w:nsid w:val="4B401203"/>
    <w:multiLevelType w:val="hybridMultilevel"/>
    <w:tmpl w:val="43265696"/>
    <w:lvl w:ilvl="0" w:tplc="08090005">
      <w:start w:val="1"/>
      <w:numFmt w:val="bullet"/>
      <w:lvlText w:val=""/>
      <w:lvlJc w:val="left"/>
      <w:pPr>
        <w:ind w:left="1712" w:hanging="360"/>
      </w:pPr>
      <w:rPr>
        <w:rFonts w:ascii="Wingdings" w:hAnsi="Wingdings"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50E11841"/>
    <w:multiLevelType w:val="hybridMultilevel"/>
    <w:tmpl w:val="588429B8"/>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6" w15:restartNumberingAfterBreak="0">
    <w:nsid w:val="51370063"/>
    <w:multiLevelType w:val="multilevel"/>
    <w:tmpl w:val="9C200BF2"/>
    <w:styleLink w:val="ShgNumbering"/>
    <w:lvl w:ilvl="0">
      <w:start w:val="1"/>
      <w:numFmt w:val="decimal"/>
      <w:pStyle w:val="ShgTitleSubnumbering"/>
      <w:lvlText w:val="%1."/>
      <w:lvlJc w:val="left"/>
      <w:pPr>
        <w:ind w:left="360" w:hanging="360"/>
      </w:pPr>
      <w:rPr>
        <w:rFonts w:ascii="Arial" w:hAnsi="Arial" w:hint="default"/>
        <w:b w:val="0"/>
        <w:i w:val="0"/>
        <w:color w:val="0032A0"/>
        <w:sz w:val="24"/>
      </w:rPr>
    </w:lvl>
    <w:lvl w:ilvl="1">
      <w:start w:val="1"/>
      <w:numFmt w:val="decimal"/>
      <w:pStyle w:val="ShgBodySubnumberingLv1"/>
      <w:lvlText w:val="%1.%2"/>
      <w:lvlJc w:val="left"/>
      <w:pPr>
        <w:ind w:left="907" w:hanging="538"/>
      </w:pPr>
      <w:rPr>
        <w:rFonts w:ascii="Arial" w:hAnsi="Arial" w:hint="default"/>
        <w:b w:val="0"/>
        <w:i w:val="0"/>
        <w:sz w:val="22"/>
      </w:rPr>
    </w:lvl>
    <w:lvl w:ilvl="2">
      <w:start w:val="1"/>
      <w:numFmt w:val="decimal"/>
      <w:pStyle w:val="ShgBodySubnumberingLv2"/>
      <w:lvlText w:val="%1.%2.%3"/>
      <w:lvlJc w:val="left"/>
      <w:pPr>
        <w:ind w:left="1304" w:hanging="737"/>
      </w:pPr>
      <w:rPr>
        <w:rFonts w:hint="default"/>
      </w:rPr>
    </w:lvl>
    <w:lvl w:ilvl="3">
      <w:start w:val="1"/>
      <w:numFmt w:val="decimal"/>
      <w:pStyle w:val="ShgBodySubnumberingLv3"/>
      <w:lvlText w:val="%1.%2.%3.%4"/>
      <w:lvlJc w:val="left"/>
      <w:pPr>
        <w:ind w:left="1871" w:hanging="90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5D0F5236"/>
    <w:multiLevelType w:val="hybridMultilevel"/>
    <w:tmpl w:val="AE940C8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8" w15:restartNumberingAfterBreak="0">
    <w:nsid w:val="5FB91452"/>
    <w:multiLevelType w:val="hybridMultilevel"/>
    <w:tmpl w:val="64DA7C16"/>
    <w:lvl w:ilvl="0" w:tplc="08090001">
      <w:start w:val="1"/>
      <w:numFmt w:val="bullet"/>
      <w:lvlText w:val=""/>
      <w:lvlJc w:val="left"/>
      <w:pPr>
        <w:ind w:left="1809" w:hanging="360"/>
      </w:pPr>
      <w:rPr>
        <w:rFonts w:ascii="Symbol" w:hAnsi="Symbo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9" w15:restartNumberingAfterBreak="0">
    <w:nsid w:val="614560D3"/>
    <w:multiLevelType w:val="hybridMultilevel"/>
    <w:tmpl w:val="8A289972"/>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63FD377F"/>
    <w:multiLevelType w:val="hybridMultilevel"/>
    <w:tmpl w:val="A8B23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2C25D7C"/>
    <w:multiLevelType w:val="hybridMultilevel"/>
    <w:tmpl w:val="6BFAB4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8AD5FDC"/>
    <w:multiLevelType w:val="hybridMultilevel"/>
    <w:tmpl w:val="8CECA82A"/>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16cid:durableId="1692873461">
    <w:abstractNumId w:val="11"/>
  </w:num>
  <w:num w:numId="2" w16cid:durableId="157501916">
    <w:abstractNumId w:val="11"/>
    <w:lvlOverride w:ilvl="0">
      <w:lvl w:ilvl="0">
        <w:start w:val="1"/>
        <w:numFmt w:val="decimal"/>
        <w:pStyle w:val="Level1"/>
        <w:lvlText w:val="%1"/>
        <w:lvlJc w:val="left"/>
        <w:pPr>
          <w:ind w:left="992" w:hanging="992"/>
        </w:pPr>
        <w:rPr>
          <w:b/>
          <w:bCs/>
          <w:color w:val="auto"/>
        </w:rPr>
      </w:lvl>
    </w:lvlOverride>
  </w:num>
  <w:num w:numId="3" w16cid:durableId="1237011929">
    <w:abstractNumId w:val="11"/>
    <w:lvlOverride w:ilvl="0">
      <w:startOverride w:val="1"/>
      <w:lvl w:ilvl="0">
        <w:start w:val="1"/>
        <w:numFmt w:val="decimal"/>
        <w:pStyle w:val="Level1"/>
        <w:lvlText w:val="%1"/>
        <w:lvlJc w:val="left"/>
        <w:pPr>
          <w:ind w:left="992" w:hanging="992"/>
        </w:pPr>
        <w:rPr>
          <w:b/>
          <w:bCs/>
          <w:color w:val="auto"/>
        </w:rPr>
      </w:lvl>
    </w:lvlOverride>
  </w:num>
  <w:num w:numId="4" w16cid:durableId="59253886">
    <w:abstractNumId w:val="2"/>
  </w:num>
  <w:num w:numId="5" w16cid:durableId="302152527">
    <w:abstractNumId w:val="5"/>
  </w:num>
  <w:num w:numId="6" w16cid:durableId="941456918">
    <w:abstractNumId w:val="13"/>
  </w:num>
  <w:num w:numId="7" w16cid:durableId="547183306">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8" w16cid:durableId="892698307">
    <w:abstractNumId w:val="6"/>
  </w:num>
  <w:num w:numId="9" w16cid:durableId="1070926128">
    <w:abstractNumId w:val="0"/>
  </w:num>
  <w:num w:numId="10" w16cid:durableId="1807356190">
    <w:abstractNumId w:val="8"/>
  </w:num>
  <w:num w:numId="11" w16cid:durableId="646397684">
    <w:abstractNumId w:val="7"/>
  </w:num>
  <w:num w:numId="12" w16cid:durableId="1638798429">
    <w:abstractNumId w:val="12"/>
  </w:num>
  <w:num w:numId="13" w16cid:durableId="838231901">
    <w:abstractNumId w:val="11"/>
  </w:num>
  <w:num w:numId="14" w16cid:durableId="164127488">
    <w:abstractNumId w:val="11"/>
  </w:num>
  <w:num w:numId="15" w16cid:durableId="373502948">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6" w16cid:durableId="379019724">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7" w16cid:durableId="2128961069">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8" w16cid:durableId="1264217694">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9" w16cid:durableId="983700084">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0" w16cid:durableId="743721203">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1" w16cid:durableId="246229078">
    <w:abstractNumId w:val="11"/>
  </w:num>
  <w:num w:numId="22" w16cid:durableId="1500466586">
    <w:abstractNumId w:val="3"/>
  </w:num>
  <w:num w:numId="23" w16cid:durableId="449200566">
    <w:abstractNumId w:val="11"/>
  </w:num>
  <w:num w:numId="24" w16cid:durableId="1329285637">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5" w16cid:durableId="1172260156">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6" w16cid:durableId="1915164757">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7" w16cid:durableId="828181104">
    <w:abstractNumId w:val="6"/>
    <w:lvlOverride w:ilvl="0">
      <w:lvl w:ilvl="0">
        <w:start w:val="1"/>
        <w:numFmt w:val="decimal"/>
        <w:pStyle w:val="ShgTitleSubnumbering"/>
        <w:lvlText w:val="%1."/>
        <w:lvlJc w:val="left"/>
        <w:pPr>
          <w:ind w:left="360" w:hanging="360"/>
        </w:pPr>
        <w:rPr>
          <w:rFonts w:ascii="Arial" w:hAnsi="Arial" w:hint="default"/>
          <w:b w:val="0"/>
          <w:i w:val="0"/>
          <w:color w:val="0032A0"/>
          <w:sz w:val="24"/>
        </w:rPr>
      </w:lvl>
    </w:lvlOverride>
    <w:lvlOverride w:ilvl="1">
      <w:lvl w:ilvl="1">
        <w:start w:val="1"/>
        <w:numFmt w:val="decimal"/>
        <w:pStyle w:val="ShgBodySubnumberingLv1"/>
        <w:lvlText w:val="%1.%2"/>
        <w:lvlJc w:val="left"/>
        <w:pPr>
          <w:ind w:left="907" w:hanging="538"/>
        </w:pPr>
        <w:rPr>
          <w:rFonts w:ascii="Arial" w:hAnsi="Arial" w:hint="default"/>
          <w:b w:val="0"/>
          <w:i w:val="0"/>
          <w:sz w:val="22"/>
        </w:rPr>
      </w:lvl>
    </w:lvlOverride>
    <w:lvlOverride w:ilvl="2">
      <w:lvl w:ilvl="2">
        <w:start w:val="1"/>
        <w:numFmt w:val="decimal"/>
        <w:pStyle w:val="ShgBodySubnumberingLv2"/>
        <w:lvlText w:val="%1.%2.%3"/>
        <w:lvlJc w:val="left"/>
        <w:pPr>
          <w:ind w:left="2014" w:hanging="737"/>
        </w:pPr>
        <w:rPr>
          <w:rFonts w:hint="default"/>
          <w:b w:val="0"/>
        </w:rPr>
      </w:lvl>
    </w:lvlOverride>
    <w:lvlOverride w:ilvl="3">
      <w:lvl w:ilvl="3">
        <w:start w:val="1"/>
        <w:numFmt w:val="decimal"/>
        <w:pStyle w:val="ShgBodySubnumberingLv3"/>
        <w:lvlText w:val="%1.%2.%3.%4"/>
        <w:lvlJc w:val="left"/>
        <w:pPr>
          <w:ind w:left="1871" w:hanging="907"/>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8" w16cid:durableId="1244728072">
    <w:abstractNumId w:val="11"/>
  </w:num>
  <w:num w:numId="29" w16cid:durableId="1734893555">
    <w:abstractNumId w:val="11"/>
  </w:num>
  <w:num w:numId="30" w16cid:durableId="1701934620">
    <w:abstractNumId w:val="9"/>
  </w:num>
  <w:num w:numId="31" w16cid:durableId="1817451075">
    <w:abstractNumId w:val="11"/>
  </w:num>
  <w:num w:numId="32" w16cid:durableId="1870876396">
    <w:abstractNumId w:val="11"/>
  </w:num>
  <w:num w:numId="33" w16cid:durableId="392583769">
    <w:abstractNumId w:val="4"/>
  </w:num>
  <w:num w:numId="34" w16cid:durableId="122579439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2172275">
    <w:abstractNumId w:val="11"/>
  </w:num>
  <w:num w:numId="36" w16cid:durableId="427698031">
    <w:abstractNumId w:val="11"/>
  </w:num>
  <w:num w:numId="37" w16cid:durableId="408768530">
    <w:abstractNumId w:val="11"/>
  </w:num>
  <w:num w:numId="38" w16cid:durableId="1487937080">
    <w:abstractNumId w:val="11"/>
  </w:num>
  <w:num w:numId="39" w16cid:durableId="1621764475">
    <w:abstractNumId w:val="11"/>
  </w:num>
  <w:num w:numId="40" w16cid:durableId="1643078742">
    <w:abstractNumId w:val="11"/>
  </w:num>
  <w:num w:numId="41" w16cid:durableId="2138180924">
    <w:abstractNumId w:val="10"/>
  </w:num>
  <w:num w:numId="42" w16cid:durableId="1245995738">
    <w:abstractNumId w:val="11"/>
  </w:num>
  <w:num w:numId="43" w16cid:durableId="363478806">
    <w:abstractNumId w:val="11"/>
  </w:num>
  <w:num w:numId="44" w16cid:durableId="1262571584">
    <w:abstractNumId w:val="11"/>
  </w:num>
  <w:num w:numId="45" w16cid:durableId="214650426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04FD9"/>
    <w:rsid w:val="000054C6"/>
    <w:rsid w:val="00007639"/>
    <w:rsid w:val="00011CF1"/>
    <w:rsid w:val="00012DD9"/>
    <w:rsid w:val="00026776"/>
    <w:rsid w:val="0002688F"/>
    <w:rsid w:val="000279F8"/>
    <w:rsid w:val="00033626"/>
    <w:rsid w:val="00033853"/>
    <w:rsid w:val="00037E04"/>
    <w:rsid w:val="000466E0"/>
    <w:rsid w:val="0004798D"/>
    <w:rsid w:val="000541E4"/>
    <w:rsid w:val="00060895"/>
    <w:rsid w:val="0006298C"/>
    <w:rsid w:val="000637C7"/>
    <w:rsid w:val="00063AF3"/>
    <w:rsid w:val="0006612E"/>
    <w:rsid w:val="00066C25"/>
    <w:rsid w:val="00075EB0"/>
    <w:rsid w:val="000764FE"/>
    <w:rsid w:val="000800F9"/>
    <w:rsid w:val="0009090E"/>
    <w:rsid w:val="000A033D"/>
    <w:rsid w:val="000B1862"/>
    <w:rsid w:val="000B6A7E"/>
    <w:rsid w:val="000C1502"/>
    <w:rsid w:val="000C446B"/>
    <w:rsid w:val="000C78E5"/>
    <w:rsid w:val="000D2745"/>
    <w:rsid w:val="000D453A"/>
    <w:rsid w:val="000D4FB0"/>
    <w:rsid w:val="000F1CFA"/>
    <w:rsid w:val="000F6D9A"/>
    <w:rsid w:val="0010193C"/>
    <w:rsid w:val="00103ED6"/>
    <w:rsid w:val="00104346"/>
    <w:rsid w:val="00107103"/>
    <w:rsid w:val="0010780E"/>
    <w:rsid w:val="00116FDC"/>
    <w:rsid w:val="00120314"/>
    <w:rsid w:val="00127469"/>
    <w:rsid w:val="00127E71"/>
    <w:rsid w:val="00130189"/>
    <w:rsid w:val="0013034B"/>
    <w:rsid w:val="001425DA"/>
    <w:rsid w:val="001454A9"/>
    <w:rsid w:val="00146B35"/>
    <w:rsid w:val="00160D63"/>
    <w:rsid w:val="001635BA"/>
    <w:rsid w:val="00171A2E"/>
    <w:rsid w:val="00173F30"/>
    <w:rsid w:val="001754DF"/>
    <w:rsid w:val="00180CA1"/>
    <w:rsid w:val="00184909"/>
    <w:rsid w:val="0018603E"/>
    <w:rsid w:val="001935A6"/>
    <w:rsid w:val="001A2E7A"/>
    <w:rsid w:val="001A4D07"/>
    <w:rsid w:val="001B02CF"/>
    <w:rsid w:val="001B3EE0"/>
    <w:rsid w:val="001B431D"/>
    <w:rsid w:val="001B6B9A"/>
    <w:rsid w:val="001B7E5E"/>
    <w:rsid w:val="001C4417"/>
    <w:rsid w:val="001C7E92"/>
    <w:rsid w:val="001D216E"/>
    <w:rsid w:val="001D73C9"/>
    <w:rsid w:val="001E237B"/>
    <w:rsid w:val="001F0CF9"/>
    <w:rsid w:val="001F3D72"/>
    <w:rsid w:val="001F5719"/>
    <w:rsid w:val="001F64C8"/>
    <w:rsid w:val="002018EB"/>
    <w:rsid w:val="002141A6"/>
    <w:rsid w:val="00215D7B"/>
    <w:rsid w:val="0021660F"/>
    <w:rsid w:val="00216B4F"/>
    <w:rsid w:val="00225E42"/>
    <w:rsid w:val="00225F8A"/>
    <w:rsid w:val="002276EE"/>
    <w:rsid w:val="00232C36"/>
    <w:rsid w:val="00234854"/>
    <w:rsid w:val="00236B00"/>
    <w:rsid w:val="00236F57"/>
    <w:rsid w:val="0023795D"/>
    <w:rsid w:val="002408A8"/>
    <w:rsid w:val="00244C6C"/>
    <w:rsid w:val="00253183"/>
    <w:rsid w:val="00263360"/>
    <w:rsid w:val="002667AD"/>
    <w:rsid w:val="00266BD8"/>
    <w:rsid w:val="00274145"/>
    <w:rsid w:val="00277CC6"/>
    <w:rsid w:val="00293ECC"/>
    <w:rsid w:val="002A0921"/>
    <w:rsid w:val="002A48BF"/>
    <w:rsid w:val="002A7954"/>
    <w:rsid w:val="002C18EB"/>
    <w:rsid w:val="002C1981"/>
    <w:rsid w:val="002C2193"/>
    <w:rsid w:val="002C4E2C"/>
    <w:rsid w:val="002C5045"/>
    <w:rsid w:val="002C527F"/>
    <w:rsid w:val="002C7557"/>
    <w:rsid w:val="002D0CCC"/>
    <w:rsid w:val="002D0F9A"/>
    <w:rsid w:val="002D124A"/>
    <w:rsid w:val="002D46B4"/>
    <w:rsid w:val="002D4FFA"/>
    <w:rsid w:val="002E0CE6"/>
    <w:rsid w:val="002F4D24"/>
    <w:rsid w:val="002F5E72"/>
    <w:rsid w:val="002F7637"/>
    <w:rsid w:val="0030400C"/>
    <w:rsid w:val="003142BA"/>
    <w:rsid w:val="003216D5"/>
    <w:rsid w:val="00321A53"/>
    <w:rsid w:val="00325EF9"/>
    <w:rsid w:val="003314B1"/>
    <w:rsid w:val="00333B94"/>
    <w:rsid w:val="00336119"/>
    <w:rsid w:val="003554FA"/>
    <w:rsid w:val="003555DC"/>
    <w:rsid w:val="00357177"/>
    <w:rsid w:val="00365798"/>
    <w:rsid w:val="00371885"/>
    <w:rsid w:val="00391A60"/>
    <w:rsid w:val="00391AD9"/>
    <w:rsid w:val="00391BFD"/>
    <w:rsid w:val="00391CA9"/>
    <w:rsid w:val="00396338"/>
    <w:rsid w:val="003A51E3"/>
    <w:rsid w:val="003A6344"/>
    <w:rsid w:val="003A72C6"/>
    <w:rsid w:val="003B1C7C"/>
    <w:rsid w:val="003B42E4"/>
    <w:rsid w:val="003C08EA"/>
    <w:rsid w:val="003C1E29"/>
    <w:rsid w:val="003C2687"/>
    <w:rsid w:val="003C3C30"/>
    <w:rsid w:val="003D3A93"/>
    <w:rsid w:val="003D5725"/>
    <w:rsid w:val="003E0B7C"/>
    <w:rsid w:val="003E6EED"/>
    <w:rsid w:val="003F18C8"/>
    <w:rsid w:val="00402107"/>
    <w:rsid w:val="00411D46"/>
    <w:rsid w:val="00416113"/>
    <w:rsid w:val="004169EF"/>
    <w:rsid w:val="00421844"/>
    <w:rsid w:val="00432072"/>
    <w:rsid w:val="0043268A"/>
    <w:rsid w:val="004355C3"/>
    <w:rsid w:val="004361DA"/>
    <w:rsid w:val="004477BC"/>
    <w:rsid w:val="00456BCF"/>
    <w:rsid w:val="00460A16"/>
    <w:rsid w:val="00463CAD"/>
    <w:rsid w:val="004654DF"/>
    <w:rsid w:val="004655A7"/>
    <w:rsid w:val="004674A0"/>
    <w:rsid w:val="0047262E"/>
    <w:rsid w:val="0047364C"/>
    <w:rsid w:val="00473AFF"/>
    <w:rsid w:val="0047512C"/>
    <w:rsid w:val="00475C6B"/>
    <w:rsid w:val="0047670B"/>
    <w:rsid w:val="00476BA6"/>
    <w:rsid w:val="00481A3E"/>
    <w:rsid w:val="00482889"/>
    <w:rsid w:val="00483609"/>
    <w:rsid w:val="004837A9"/>
    <w:rsid w:val="004849F6"/>
    <w:rsid w:val="004857D2"/>
    <w:rsid w:val="00485C7B"/>
    <w:rsid w:val="00485CC1"/>
    <w:rsid w:val="00485E16"/>
    <w:rsid w:val="00487708"/>
    <w:rsid w:val="00487A1E"/>
    <w:rsid w:val="00496FF2"/>
    <w:rsid w:val="004A0D53"/>
    <w:rsid w:val="004A3EE4"/>
    <w:rsid w:val="004A7984"/>
    <w:rsid w:val="004A7B52"/>
    <w:rsid w:val="004B1EE9"/>
    <w:rsid w:val="004B5368"/>
    <w:rsid w:val="004B75B6"/>
    <w:rsid w:val="004B7A7D"/>
    <w:rsid w:val="004C2D80"/>
    <w:rsid w:val="004C6FD8"/>
    <w:rsid w:val="004D649D"/>
    <w:rsid w:val="004E1CEB"/>
    <w:rsid w:val="004F4C8C"/>
    <w:rsid w:val="004F7359"/>
    <w:rsid w:val="005023F9"/>
    <w:rsid w:val="0050721D"/>
    <w:rsid w:val="00511609"/>
    <w:rsid w:val="00521C44"/>
    <w:rsid w:val="005248CD"/>
    <w:rsid w:val="00525174"/>
    <w:rsid w:val="005265F7"/>
    <w:rsid w:val="0053134E"/>
    <w:rsid w:val="0053229A"/>
    <w:rsid w:val="00534076"/>
    <w:rsid w:val="00534989"/>
    <w:rsid w:val="00546235"/>
    <w:rsid w:val="00550DF9"/>
    <w:rsid w:val="00562482"/>
    <w:rsid w:val="00565F81"/>
    <w:rsid w:val="00567266"/>
    <w:rsid w:val="00584F20"/>
    <w:rsid w:val="0058512E"/>
    <w:rsid w:val="00585EC3"/>
    <w:rsid w:val="00586244"/>
    <w:rsid w:val="00593762"/>
    <w:rsid w:val="00594756"/>
    <w:rsid w:val="00595FD9"/>
    <w:rsid w:val="00597658"/>
    <w:rsid w:val="005A06A4"/>
    <w:rsid w:val="005A0889"/>
    <w:rsid w:val="005A1BF4"/>
    <w:rsid w:val="005A454A"/>
    <w:rsid w:val="005B16DF"/>
    <w:rsid w:val="005B2A99"/>
    <w:rsid w:val="005B4441"/>
    <w:rsid w:val="005B5C75"/>
    <w:rsid w:val="005C2C39"/>
    <w:rsid w:val="005C34B8"/>
    <w:rsid w:val="005C5F6F"/>
    <w:rsid w:val="005D5444"/>
    <w:rsid w:val="005E1239"/>
    <w:rsid w:val="005E5820"/>
    <w:rsid w:val="005F0283"/>
    <w:rsid w:val="005F25D2"/>
    <w:rsid w:val="005F70EA"/>
    <w:rsid w:val="005F7E8F"/>
    <w:rsid w:val="006035D1"/>
    <w:rsid w:val="006037FE"/>
    <w:rsid w:val="00607598"/>
    <w:rsid w:val="00614AA0"/>
    <w:rsid w:val="00617B65"/>
    <w:rsid w:val="00622E43"/>
    <w:rsid w:val="006270D8"/>
    <w:rsid w:val="0063450C"/>
    <w:rsid w:val="00641A20"/>
    <w:rsid w:val="0064260B"/>
    <w:rsid w:val="0065543D"/>
    <w:rsid w:val="0065603D"/>
    <w:rsid w:val="006568A5"/>
    <w:rsid w:val="006611C5"/>
    <w:rsid w:val="006708B2"/>
    <w:rsid w:val="00672DFE"/>
    <w:rsid w:val="00673F51"/>
    <w:rsid w:val="0068471F"/>
    <w:rsid w:val="006852E6"/>
    <w:rsid w:val="00690288"/>
    <w:rsid w:val="006918ED"/>
    <w:rsid w:val="006B0446"/>
    <w:rsid w:val="006B04C5"/>
    <w:rsid w:val="006B26E8"/>
    <w:rsid w:val="006B324E"/>
    <w:rsid w:val="006B5D25"/>
    <w:rsid w:val="006B61DE"/>
    <w:rsid w:val="006C6C33"/>
    <w:rsid w:val="006D716F"/>
    <w:rsid w:val="006E2B58"/>
    <w:rsid w:val="006E2E7C"/>
    <w:rsid w:val="006E3BE3"/>
    <w:rsid w:val="006F2A7E"/>
    <w:rsid w:val="007049E7"/>
    <w:rsid w:val="007078EF"/>
    <w:rsid w:val="0071215B"/>
    <w:rsid w:val="00722999"/>
    <w:rsid w:val="00727D90"/>
    <w:rsid w:val="00730753"/>
    <w:rsid w:val="00732E4C"/>
    <w:rsid w:val="007338B9"/>
    <w:rsid w:val="0073510B"/>
    <w:rsid w:val="00735A4E"/>
    <w:rsid w:val="00743F01"/>
    <w:rsid w:val="00746EF2"/>
    <w:rsid w:val="00751A3E"/>
    <w:rsid w:val="00753D6D"/>
    <w:rsid w:val="007542B3"/>
    <w:rsid w:val="007548AB"/>
    <w:rsid w:val="00763EE9"/>
    <w:rsid w:val="00765209"/>
    <w:rsid w:val="00766424"/>
    <w:rsid w:val="00771E5E"/>
    <w:rsid w:val="007745A0"/>
    <w:rsid w:val="007768E7"/>
    <w:rsid w:val="0078529F"/>
    <w:rsid w:val="0079548F"/>
    <w:rsid w:val="007B3A0C"/>
    <w:rsid w:val="007B470F"/>
    <w:rsid w:val="007C0300"/>
    <w:rsid w:val="007C0F46"/>
    <w:rsid w:val="007D0121"/>
    <w:rsid w:val="007D0EF2"/>
    <w:rsid w:val="007D23BD"/>
    <w:rsid w:val="007D2D60"/>
    <w:rsid w:val="007D404A"/>
    <w:rsid w:val="007D7F51"/>
    <w:rsid w:val="007E1CD0"/>
    <w:rsid w:val="007E6C52"/>
    <w:rsid w:val="007F214E"/>
    <w:rsid w:val="007F48A0"/>
    <w:rsid w:val="007F50D3"/>
    <w:rsid w:val="007F5D4F"/>
    <w:rsid w:val="007F6756"/>
    <w:rsid w:val="007F79BE"/>
    <w:rsid w:val="00800FA7"/>
    <w:rsid w:val="008012F4"/>
    <w:rsid w:val="00802A62"/>
    <w:rsid w:val="0080338D"/>
    <w:rsid w:val="00805E2F"/>
    <w:rsid w:val="00810DA0"/>
    <w:rsid w:val="00816FD7"/>
    <w:rsid w:val="00817DAB"/>
    <w:rsid w:val="008246C1"/>
    <w:rsid w:val="0082798E"/>
    <w:rsid w:val="00832CED"/>
    <w:rsid w:val="0083307E"/>
    <w:rsid w:val="0083760A"/>
    <w:rsid w:val="00840B57"/>
    <w:rsid w:val="00845622"/>
    <w:rsid w:val="008478B4"/>
    <w:rsid w:val="00853D41"/>
    <w:rsid w:val="008551A4"/>
    <w:rsid w:val="0086147B"/>
    <w:rsid w:val="008630C7"/>
    <w:rsid w:val="008720F3"/>
    <w:rsid w:val="0087210C"/>
    <w:rsid w:val="008721D0"/>
    <w:rsid w:val="008806E3"/>
    <w:rsid w:val="00880BF1"/>
    <w:rsid w:val="00881FB8"/>
    <w:rsid w:val="00885E16"/>
    <w:rsid w:val="008959C7"/>
    <w:rsid w:val="008970F5"/>
    <w:rsid w:val="008B269D"/>
    <w:rsid w:val="008B4AC5"/>
    <w:rsid w:val="008C3AFF"/>
    <w:rsid w:val="008C46E8"/>
    <w:rsid w:val="008C7FE6"/>
    <w:rsid w:val="008D0393"/>
    <w:rsid w:val="008D4103"/>
    <w:rsid w:val="008D4F2D"/>
    <w:rsid w:val="008D6637"/>
    <w:rsid w:val="008D7EA2"/>
    <w:rsid w:val="008F47D1"/>
    <w:rsid w:val="008F594D"/>
    <w:rsid w:val="00902F21"/>
    <w:rsid w:val="0090459F"/>
    <w:rsid w:val="009115AB"/>
    <w:rsid w:val="00915148"/>
    <w:rsid w:val="0092050A"/>
    <w:rsid w:val="00921541"/>
    <w:rsid w:val="00923C21"/>
    <w:rsid w:val="00927436"/>
    <w:rsid w:val="009301AB"/>
    <w:rsid w:val="0093269E"/>
    <w:rsid w:val="009527B7"/>
    <w:rsid w:val="009531F6"/>
    <w:rsid w:val="00955A8E"/>
    <w:rsid w:val="00956622"/>
    <w:rsid w:val="00956ED2"/>
    <w:rsid w:val="00965140"/>
    <w:rsid w:val="00966697"/>
    <w:rsid w:val="00972163"/>
    <w:rsid w:val="00974533"/>
    <w:rsid w:val="00980E84"/>
    <w:rsid w:val="00995BBC"/>
    <w:rsid w:val="0099609B"/>
    <w:rsid w:val="009976A5"/>
    <w:rsid w:val="009A1ABB"/>
    <w:rsid w:val="009A507E"/>
    <w:rsid w:val="009B012F"/>
    <w:rsid w:val="009B60C4"/>
    <w:rsid w:val="009C2296"/>
    <w:rsid w:val="009D178B"/>
    <w:rsid w:val="009D1D41"/>
    <w:rsid w:val="009D2178"/>
    <w:rsid w:val="009D672B"/>
    <w:rsid w:val="009E104A"/>
    <w:rsid w:val="009E6EEB"/>
    <w:rsid w:val="009E742A"/>
    <w:rsid w:val="00A01E67"/>
    <w:rsid w:val="00A03ABD"/>
    <w:rsid w:val="00A041A6"/>
    <w:rsid w:val="00A0666A"/>
    <w:rsid w:val="00A1452E"/>
    <w:rsid w:val="00A15140"/>
    <w:rsid w:val="00A15AC9"/>
    <w:rsid w:val="00A20EE9"/>
    <w:rsid w:val="00A4411C"/>
    <w:rsid w:val="00A47251"/>
    <w:rsid w:val="00A5279E"/>
    <w:rsid w:val="00A56BF1"/>
    <w:rsid w:val="00A57149"/>
    <w:rsid w:val="00A6081E"/>
    <w:rsid w:val="00A64E1F"/>
    <w:rsid w:val="00A66F98"/>
    <w:rsid w:val="00A67A63"/>
    <w:rsid w:val="00A715AF"/>
    <w:rsid w:val="00A82B28"/>
    <w:rsid w:val="00A87EC1"/>
    <w:rsid w:val="00A90DDB"/>
    <w:rsid w:val="00A91B15"/>
    <w:rsid w:val="00A92A8E"/>
    <w:rsid w:val="00A930A5"/>
    <w:rsid w:val="00AA4847"/>
    <w:rsid w:val="00AB3E2C"/>
    <w:rsid w:val="00AC2296"/>
    <w:rsid w:val="00AD2EAE"/>
    <w:rsid w:val="00AD5A32"/>
    <w:rsid w:val="00AE4C79"/>
    <w:rsid w:val="00AF1D31"/>
    <w:rsid w:val="00AF45AD"/>
    <w:rsid w:val="00AF58E8"/>
    <w:rsid w:val="00AF7333"/>
    <w:rsid w:val="00AF7DC6"/>
    <w:rsid w:val="00B00E4E"/>
    <w:rsid w:val="00B00F8F"/>
    <w:rsid w:val="00B01FE5"/>
    <w:rsid w:val="00B021DF"/>
    <w:rsid w:val="00B03DFC"/>
    <w:rsid w:val="00B106AE"/>
    <w:rsid w:val="00B12980"/>
    <w:rsid w:val="00B2130A"/>
    <w:rsid w:val="00B22A7C"/>
    <w:rsid w:val="00B3731A"/>
    <w:rsid w:val="00B41C43"/>
    <w:rsid w:val="00B42BC8"/>
    <w:rsid w:val="00B43B3F"/>
    <w:rsid w:val="00B4461E"/>
    <w:rsid w:val="00B45733"/>
    <w:rsid w:val="00B45AC1"/>
    <w:rsid w:val="00B46D5B"/>
    <w:rsid w:val="00B4741F"/>
    <w:rsid w:val="00B51DDC"/>
    <w:rsid w:val="00B5241A"/>
    <w:rsid w:val="00B7006C"/>
    <w:rsid w:val="00B734B7"/>
    <w:rsid w:val="00B761B3"/>
    <w:rsid w:val="00B927DC"/>
    <w:rsid w:val="00B943B1"/>
    <w:rsid w:val="00BA07DF"/>
    <w:rsid w:val="00BA0867"/>
    <w:rsid w:val="00BA4E6A"/>
    <w:rsid w:val="00BB102E"/>
    <w:rsid w:val="00BB3999"/>
    <w:rsid w:val="00BB4B05"/>
    <w:rsid w:val="00BB526D"/>
    <w:rsid w:val="00BB59F5"/>
    <w:rsid w:val="00BB5D19"/>
    <w:rsid w:val="00BB647D"/>
    <w:rsid w:val="00BB6C8B"/>
    <w:rsid w:val="00BC139C"/>
    <w:rsid w:val="00BC4E85"/>
    <w:rsid w:val="00BC532C"/>
    <w:rsid w:val="00BD328C"/>
    <w:rsid w:val="00BD5584"/>
    <w:rsid w:val="00BD648D"/>
    <w:rsid w:val="00BE34F2"/>
    <w:rsid w:val="00BE396A"/>
    <w:rsid w:val="00BE5AFA"/>
    <w:rsid w:val="00BE6436"/>
    <w:rsid w:val="00BF0625"/>
    <w:rsid w:val="00C00D94"/>
    <w:rsid w:val="00C06CAC"/>
    <w:rsid w:val="00C11ACB"/>
    <w:rsid w:val="00C166BB"/>
    <w:rsid w:val="00C17058"/>
    <w:rsid w:val="00C20782"/>
    <w:rsid w:val="00C318A8"/>
    <w:rsid w:val="00C32602"/>
    <w:rsid w:val="00C33C9D"/>
    <w:rsid w:val="00C34F8E"/>
    <w:rsid w:val="00C36D13"/>
    <w:rsid w:val="00C40AFB"/>
    <w:rsid w:val="00C40CEB"/>
    <w:rsid w:val="00C4148D"/>
    <w:rsid w:val="00C46BDD"/>
    <w:rsid w:val="00C552D8"/>
    <w:rsid w:val="00C56B33"/>
    <w:rsid w:val="00C578F0"/>
    <w:rsid w:val="00C66C0D"/>
    <w:rsid w:val="00C6708C"/>
    <w:rsid w:val="00C7092D"/>
    <w:rsid w:val="00C72E8C"/>
    <w:rsid w:val="00C83FE6"/>
    <w:rsid w:val="00C86544"/>
    <w:rsid w:val="00C867D3"/>
    <w:rsid w:val="00C92726"/>
    <w:rsid w:val="00C95D1A"/>
    <w:rsid w:val="00C96C1A"/>
    <w:rsid w:val="00C973A2"/>
    <w:rsid w:val="00C97F92"/>
    <w:rsid w:val="00CA0CED"/>
    <w:rsid w:val="00CA1A78"/>
    <w:rsid w:val="00CA211A"/>
    <w:rsid w:val="00CA531B"/>
    <w:rsid w:val="00CA5CDE"/>
    <w:rsid w:val="00CB0CA4"/>
    <w:rsid w:val="00CB7C8B"/>
    <w:rsid w:val="00CC3960"/>
    <w:rsid w:val="00CD54D6"/>
    <w:rsid w:val="00CD5D63"/>
    <w:rsid w:val="00CD716E"/>
    <w:rsid w:val="00CE2902"/>
    <w:rsid w:val="00CE5096"/>
    <w:rsid w:val="00CEEBE5"/>
    <w:rsid w:val="00D004A7"/>
    <w:rsid w:val="00D02A88"/>
    <w:rsid w:val="00D03A64"/>
    <w:rsid w:val="00D0634A"/>
    <w:rsid w:val="00D121EE"/>
    <w:rsid w:val="00D127FA"/>
    <w:rsid w:val="00D13E2B"/>
    <w:rsid w:val="00D14F96"/>
    <w:rsid w:val="00D15E56"/>
    <w:rsid w:val="00D16DFF"/>
    <w:rsid w:val="00D24C8C"/>
    <w:rsid w:val="00D2602E"/>
    <w:rsid w:val="00D269A8"/>
    <w:rsid w:val="00D535CB"/>
    <w:rsid w:val="00D53DF2"/>
    <w:rsid w:val="00D565FD"/>
    <w:rsid w:val="00D6322C"/>
    <w:rsid w:val="00D63DB0"/>
    <w:rsid w:val="00D64423"/>
    <w:rsid w:val="00D66CC5"/>
    <w:rsid w:val="00D71A25"/>
    <w:rsid w:val="00D75978"/>
    <w:rsid w:val="00D760D5"/>
    <w:rsid w:val="00D7655B"/>
    <w:rsid w:val="00D770CE"/>
    <w:rsid w:val="00D77959"/>
    <w:rsid w:val="00D8758C"/>
    <w:rsid w:val="00D96441"/>
    <w:rsid w:val="00DA0746"/>
    <w:rsid w:val="00DA2910"/>
    <w:rsid w:val="00DB0E62"/>
    <w:rsid w:val="00DB4792"/>
    <w:rsid w:val="00DB5AD1"/>
    <w:rsid w:val="00DC3878"/>
    <w:rsid w:val="00DC4656"/>
    <w:rsid w:val="00DD40E4"/>
    <w:rsid w:val="00DD4B54"/>
    <w:rsid w:val="00DD60F9"/>
    <w:rsid w:val="00DD677E"/>
    <w:rsid w:val="00DD698A"/>
    <w:rsid w:val="00DE1509"/>
    <w:rsid w:val="00DE1E1B"/>
    <w:rsid w:val="00DE1F63"/>
    <w:rsid w:val="00DE2FC6"/>
    <w:rsid w:val="00DE7872"/>
    <w:rsid w:val="00DF7083"/>
    <w:rsid w:val="00E01C98"/>
    <w:rsid w:val="00E032CD"/>
    <w:rsid w:val="00E0644C"/>
    <w:rsid w:val="00E12AAE"/>
    <w:rsid w:val="00E13B22"/>
    <w:rsid w:val="00E13BC9"/>
    <w:rsid w:val="00E150EB"/>
    <w:rsid w:val="00E2396D"/>
    <w:rsid w:val="00E23BB9"/>
    <w:rsid w:val="00E25C1D"/>
    <w:rsid w:val="00E357B2"/>
    <w:rsid w:val="00E44328"/>
    <w:rsid w:val="00E446A8"/>
    <w:rsid w:val="00E47361"/>
    <w:rsid w:val="00E47B23"/>
    <w:rsid w:val="00E553B1"/>
    <w:rsid w:val="00E6061A"/>
    <w:rsid w:val="00E61E63"/>
    <w:rsid w:val="00E6465E"/>
    <w:rsid w:val="00E70B69"/>
    <w:rsid w:val="00E72C05"/>
    <w:rsid w:val="00E736AC"/>
    <w:rsid w:val="00E777A0"/>
    <w:rsid w:val="00E80ABA"/>
    <w:rsid w:val="00E810F7"/>
    <w:rsid w:val="00E833F3"/>
    <w:rsid w:val="00E858D3"/>
    <w:rsid w:val="00E85E33"/>
    <w:rsid w:val="00E93512"/>
    <w:rsid w:val="00E9362E"/>
    <w:rsid w:val="00E94742"/>
    <w:rsid w:val="00E97043"/>
    <w:rsid w:val="00E972F3"/>
    <w:rsid w:val="00E97AF0"/>
    <w:rsid w:val="00EA3B01"/>
    <w:rsid w:val="00EB1E96"/>
    <w:rsid w:val="00EB6AA4"/>
    <w:rsid w:val="00EB7917"/>
    <w:rsid w:val="00EB7D85"/>
    <w:rsid w:val="00EC4A0D"/>
    <w:rsid w:val="00EC5217"/>
    <w:rsid w:val="00EC6B7B"/>
    <w:rsid w:val="00ED4BE7"/>
    <w:rsid w:val="00ED7EDE"/>
    <w:rsid w:val="00EE0E6C"/>
    <w:rsid w:val="00EE26FB"/>
    <w:rsid w:val="00EE5023"/>
    <w:rsid w:val="00EF0CA2"/>
    <w:rsid w:val="00EF19E6"/>
    <w:rsid w:val="00EF6EFF"/>
    <w:rsid w:val="00F0149B"/>
    <w:rsid w:val="00F15CF1"/>
    <w:rsid w:val="00F26398"/>
    <w:rsid w:val="00F26DA9"/>
    <w:rsid w:val="00F27628"/>
    <w:rsid w:val="00F464A0"/>
    <w:rsid w:val="00F46ACD"/>
    <w:rsid w:val="00F50E13"/>
    <w:rsid w:val="00F529B9"/>
    <w:rsid w:val="00F533D5"/>
    <w:rsid w:val="00F53CC5"/>
    <w:rsid w:val="00F54751"/>
    <w:rsid w:val="00F67A51"/>
    <w:rsid w:val="00F71C6F"/>
    <w:rsid w:val="00F746C1"/>
    <w:rsid w:val="00F8383B"/>
    <w:rsid w:val="00F83FC7"/>
    <w:rsid w:val="00F9552A"/>
    <w:rsid w:val="00FA44E0"/>
    <w:rsid w:val="00FA7435"/>
    <w:rsid w:val="00FB21BC"/>
    <w:rsid w:val="00FB4B53"/>
    <w:rsid w:val="00FB523C"/>
    <w:rsid w:val="00FB5AB4"/>
    <w:rsid w:val="00FB63FE"/>
    <w:rsid w:val="00FC04AA"/>
    <w:rsid w:val="00FC3A0E"/>
    <w:rsid w:val="00FC75DB"/>
    <w:rsid w:val="00FD1F22"/>
    <w:rsid w:val="00FD3FC1"/>
    <w:rsid w:val="00FE3160"/>
    <w:rsid w:val="00FE381B"/>
    <w:rsid w:val="00FF03FC"/>
    <w:rsid w:val="00FF6036"/>
    <w:rsid w:val="00FF76C3"/>
    <w:rsid w:val="03BF38FC"/>
    <w:rsid w:val="1182B115"/>
    <w:rsid w:val="1A1DBBA9"/>
    <w:rsid w:val="1F5172ED"/>
    <w:rsid w:val="1FB49114"/>
    <w:rsid w:val="23893477"/>
    <w:rsid w:val="26A05947"/>
    <w:rsid w:val="2CAA1C01"/>
    <w:rsid w:val="2F48938F"/>
    <w:rsid w:val="3045DA91"/>
    <w:rsid w:val="3366280F"/>
    <w:rsid w:val="36C44ACA"/>
    <w:rsid w:val="371999EA"/>
    <w:rsid w:val="38123D60"/>
    <w:rsid w:val="3CAF5A4A"/>
    <w:rsid w:val="3E18C712"/>
    <w:rsid w:val="3E5A22B9"/>
    <w:rsid w:val="41FA0329"/>
    <w:rsid w:val="44466381"/>
    <w:rsid w:val="44D9FBA2"/>
    <w:rsid w:val="4706A4B4"/>
    <w:rsid w:val="4E7A14BB"/>
    <w:rsid w:val="51B425FB"/>
    <w:rsid w:val="53917789"/>
    <w:rsid w:val="5432ACD7"/>
    <w:rsid w:val="56FC2638"/>
    <w:rsid w:val="5C190AE2"/>
    <w:rsid w:val="5C2FFF64"/>
    <w:rsid w:val="5CCB63B6"/>
    <w:rsid w:val="60656DCD"/>
    <w:rsid w:val="6423E9DD"/>
    <w:rsid w:val="647365BF"/>
    <w:rsid w:val="65E1EC05"/>
    <w:rsid w:val="684E0FC2"/>
    <w:rsid w:val="6A368BBD"/>
    <w:rsid w:val="6E99C144"/>
    <w:rsid w:val="7528CB64"/>
    <w:rsid w:val="75D47948"/>
    <w:rsid w:val="76084D14"/>
    <w:rsid w:val="7AD6D577"/>
    <w:rsid w:val="7AE336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25E1"/>
  <w15:chartTrackingRefBased/>
  <w15:docId w15:val="{0F1A1933-DF8A-47F5-AA12-0DE7187A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34"/>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1"/>
      </w:numPr>
    </w:pPr>
  </w:style>
  <w:style w:type="paragraph" w:customStyle="1" w:styleId="Level1">
    <w:name w:val="Level 1"/>
    <w:basedOn w:val="Normal"/>
    <w:uiPriority w:val="1"/>
    <w:rsid w:val="00A82B28"/>
    <w:pPr>
      <w:numPr>
        <w:numId w:val="1"/>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1"/>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1"/>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1"/>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1"/>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1"/>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1"/>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 w:type="paragraph" w:customStyle="1" w:styleId="Default">
    <w:name w:val="Default"/>
    <w:rsid w:val="006E2B58"/>
    <w:pPr>
      <w:autoSpaceDE w:val="0"/>
      <w:autoSpaceDN w:val="0"/>
      <w:adjustRightInd w:val="0"/>
      <w:spacing w:after="0" w:line="240" w:lineRule="auto"/>
    </w:pPr>
    <w:rPr>
      <w:rFonts w:ascii="Cambria" w:eastAsia="Times New Roman" w:hAnsi="Cambria" w:cs="Cambria"/>
      <w:color w:val="000000"/>
      <w:kern w:val="0"/>
      <w:sz w:val="24"/>
      <w:szCs w:val="24"/>
      <w:lang w:eastAsia="en-GB"/>
      <w14:ligatures w14:val="none"/>
    </w:rPr>
  </w:style>
  <w:style w:type="paragraph" w:customStyle="1" w:styleId="ShgTitleSubnumbering">
    <w:name w:val="Shg Title Sub numbering"/>
    <w:basedOn w:val="Normal"/>
    <w:uiPriority w:val="13"/>
    <w:qFormat/>
    <w:rsid w:val="00060895"/>
    <w:pPr>
      <w:numPr>
        <w:numId w:val="7"/>
      </w:numPr>
      <w:spacing w:after="200" w:line="276" w:lineRule="auto"/>
    </w:pPr>
    <w:rPr>
      <w:rFonts w:ascii="Arial" w:hAnsi="Arial"/>
      <w:b/>
      <w:color w:val="0032A0"/>
      <w:kern w:val="0"/>
      <w:sz w:val="24"/>
      <w14:ligatures w14:val="none"/>
    </w:rPr>
  </w:style>
  <w:style w:type="paragraph" w:customStyle="1" w:styleId="ShgBodySubnumberingLv1">
    <w:name w:val="Shg Body Sub numbering Lv.1"/>
    <w:basedOn w:val="Normal"/>
    <w:uiPriority w:val="14"/>
    <w:qFormat/>
    <w:rsid w:val="00060895"/>
    <w:pPr>
      <w:numPr>
        <w:ilvl w:val="1"/>
        <w:numId w:val="7"/>
      </w:numPr>
      <w:spacing w:after="200" w:line="276" w:lineRule="auto"/>
    </w:pPr>
    <w:rPr>
      <w:kern w:val="0"/>
      <w:sz w:val="24"/>
      <w14:ligatures w14:val="none"/>
    </w:rPr>
  </w:style>
  <w:style w:type="paragraph" w:customStyle="1" w:styleId="ShgBodySubnumberingLv2">
    <w:name w:val="Shg Body Sub numbering Lv.2"/>
    <w:basedOn w:val="ShgBodySubnumberingLv1"/>
    <w:uiPriority w:val="14"/>
    <w:qFormat/>
    <w:rsid w:val="00060895"/>
    <w:pPr>
      <w:numPr>
        <w:ilvl w:val="2"/>
      </w:numPr>
      <w:ind w:left="1304"/>
    </w:pPr>
  </w:style>
  <w:style w:type="paragraph" w:customStyle="1" w:styleId="ShgBodySubnumberingLv3">
    <w:name w:val="Shg Body Sub numbering Lv.3"/>
    <w:basedOn w:val="ShgBodySubnumberingLv2"/>
    <w:uiPriority w:val="14"/>
    <w:qFormat/>
    <w:rsid w:val="00060895"/>
    <w:pPr>
      <w:numPr>
        <w:ilvl w:val="3"/>
      </w:numPr>
    </w:pPr>
  </w:style>
  <w:style w:type="numbering" w:customStyle="1" w:styleId="ShgNumbering">
    <w:name w:val="Shg Numbering"/>
    <w:uiPriority w:val="99"/>
    <w:rsid w:val="00060895"/>
    <w:pPr>
      <w:numPr>
        <w:numId w:val="8"/>
      </w:numPr>
    </w:pPr>
  </w:style>
  <w:style w:type="character" w:styleId="CommentReference">
    <w:name w:val="annotation reference"/>
    <w:basedOn w:val="DefaultParagraphFont"/>
    <w:uiPriority w:val="99"/>
    <w:semiHidden/>
    <w:unhideWhenUsed/>
    <w:rsid w:val="00D6322C"/>
    <w:rPr>
      <w:sz w:val="16"/>
      <w:szCs w:val="16"/>
    </w:rPr>
  </w:style>
  <w:style w:type="paragraph" w:styleId="CommentText">
    <w:name w:val="annotation text"/>
    <w:basedOn w:val="Normal"/>
    <w:link w:val="CommentTextChar"/>
    <w:uiPriority w:val="99"/>
    <w:unhideWhenUsed/>
    <w:rsid w:val="00D6322C"/>
    <w:pPr>
      <w:spacing w:line="240" w:lineRule="auto"/>
    </w:pPr>
    <w:rPr>
      <w:sz w:val="20"/>
      <w:szCs w:val="20"/>
    </w:rPr>
  </w:style>
  <w:style w:type="character" w:customStyle="1" w:styleId="CommentTextChar">
    <w:name w:val="Comment Text Char"/>
    <w:basedOn w:val="DefaultParagraphFont"/>
    <w:link w:val="CommentText"/>
    <w:uiPriority w:val="99"/>
    <w:rsid w:val="00D6322C"/>
    <w:rPr>
      <w:sz w:val="20"/>
      <w:szCs w:val="20"/>
    </w:rPr>
  </w:style>
  <w:style w:type="paragraph" w:styleId="CommentSubject">
    <w:name w:val="annotation subject"/>
    <w:basedOn w:val="CommentText"/>
    <w:next w:val="CommentText"/>
    <w:link w:val="CommentSubjectChar"/>
    <w:uiPriority w:val="99"/>
    <w:semiHidden/>
    <w:unhideWhenUsed/>
    <w:rsid w:val="00D6322C"/>
    <w:rPr>
      <w:b/>
      <w:bCs/>
    </w:rPr>
  </w:style>
  <w:style w:type="character" w:customStyle="1" w:styleId="CommentSubjectChar">
    <w:name w:val="Comment Subject Char"/>
    <w:basedOn w:val="CommentTextChar"/>
    <w:link w:val="CommentSubject"/>
    <w:uiPriority w:val="99"/>
    <w:semiHidden/>
    <w:rsid w:val="00D6322C"/>
    <w:rPr>
      <w:b/>
      <w:bCs/>
      <w:sz w:val="20"/>
      <w:szCs w:val="20"/>
    </w:rPr>
  </w:style>
  <w:style w:type="character" w:styleId="Mention">
    <w:name w:val="Mention"/>
    <w:basedOn w:val="DefaultParagraphFont"/>
    <w:uiPriority w:val="99"/>
    <w:unhideWhenUsed/>
    <w:rsid w:val="00A715AF"/>
    <w:rPr>
      <w:color w:val="2B579A"/>
      <w:shd w:val="clear" w:color="auto" w:fill="E1DFDD"/>
    </w:rPr>
  </w:style>
  <w:style w:type="character" w:styleId="FollowedHyperlink">
    <w:name w:val="FollowedHyperlink"/>
    <w:basedOn w:val="DefaultParagraphFont"/>
    <w:uiPriority w:val="99"/>
    <w:semiHidden/>
    <w:unhideWhenUsed/>
    <w:rsid w:val="00075EB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554868">
      <w:bodyDiv w:val="1"/>
      <w:marLeft w:val="0"/>
      <w:marRight w:val="0"/>
      <w:marTop w:val="0"/>
      <w:marBottom w:val="0"/>
      <w:divBdr>
        <w:top w:val="none" w:sz="0" w:space="0" w:color="auto"/>
        <w:left w:val="none" w:sz="0" w:space="0" w:color="auto"/>
        <w:bottom w:val="none" w:sz="0" w:space="0" w:color="auto"/>
        <w:right w:val="none" w:sz="0" w:space="0" w:color="auto"/>
      </w:divBdr>
    </w:div>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302466531">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 w:id="1332295835">
          <w:marLeft w:val="0"/>
          <w:marRight w:val="0"/>
          <w:marTop w:val="0"/>
          <w:marBottom w:val="0"/>
          <w:divBdr>
            <w:top w:val="none" w:sz="0" w:space="0" w:color="auto"/>
            <w:left w:val="none" w:sz="0" w:space="0" w:color="auto"/>
            <w:bottom w:val="none" w:sz="0" w:space="0" w:color="auto"/>
            <w:right w:val="none" w:sz="0" w:space="0" w:color="auto"/>
          </w:divBdr>
        </w:div>
        <w:div w:id="1954701686">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1575">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sChild>
    </w:div>
    <w:div w:id="19451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kent.org/about-us/policies/policies-living-in-your-home/mutual-exchange-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Matters!28197598.1</documentid>
  <senderid>VSMITH</senderid>
  <senderemail>Victoria.Smith@devonshires.co.uk</senderemail>
  <lastmodified>2025-02-18T18:01:00.0000000+00:00</lastmodified>
  <database>Matters</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Props1.xml><?xml version="1.0" encoding="utf-8"?>
<ds:datastoreItem xmlns:ds="http://schemas.openxmlformats.org/officeDocument/2006/customXml" ds:itemID="{BB6525A5-A30A-4F54-ABCC-F4F4A881DE6F}">
  <ds:schemaRefs>
    <ds:schemaRef ds:uri="http://www.imanage.com/work/xmlschema"/>
  </ds:schemaRefs>
</ds:datastoreItem>
</file>

<file path=customXml/itemProps2.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3.xml><?xml version="1.0" encoding="utf-8"?>
<ds:datastoreItem xmlns:ds="http://schemas.openxmlformats.org/officeDocument/2006/customXml" ds:itemID="{243F31C0-5A4B-45F9-B7A2-AFEEF585ECBC}">
  <ds:schemaRefs>
    <ds:schemaRef ds:uri="http://schemas.microsoft.com/sharepoint/v3/contenttype/forms"/>
  </ds:schemaRefs>
</ds:datastoreItem>
</file>

<file path=customXml/itemProps4.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74FA8F-E710-42EA-ADE9-B158302606A1}">
  <ds:schemaRefs>
    <ds:schemaRef ds:uri="http://schemas.microsoft.com/office/2006/metadata/properties"/>
    <ds:schemaRef ds:uri="http://schemas.microsoft.com/office/infopath/2007/PartnerControls"/>
    <ds:schemaRef ds:uri="ad46e06c-2262-483d-9e89-1065d5b5e909"/>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3</TotalTime>
  <Pages>17</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4</cp:revision>
  <cp:lastPrinted>2025-02-27T14:26:00Z</cp:lastPrinted>
  <dcterms:created xsi:type="dcterms:W3CDTF">2025-03-27T09:02:00Z</dcterms:created>
  <dcterms:modified xsi:type="dcterms:W3CDTF">2025-03-27T09:15:00Z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